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32"/>
          <w:szCs w:val="32"/>
          <w:color w:val="231F20"/>
        </w:rPr>
        <w:t xml:space="preserve">Dokument zawierający kluczowe informacje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4608195</wp:posOffset>
            </wp:positionH>
            <wp:positionV relativeFrom="paragraph">
              <wp:posOffset>-231140</wp:posOffset>
            </wp:positionV>
            <wp:extent cx="2117090" cy="4679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09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Przeznaczenie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Niniejszy dokument zawiera kluczowe informacje na temat tego funduszu inwestycyjnego.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Informacje te są wymagane przez prawo, aby pomóc Ci zrozumieć charakter, ryzyko, koszty, potencjalne zyski i straty tego Funduszu oraz aby pomóc Ci porównać go z innymi funduszami.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-18415</wp:posOffset>
            </wp:positionH>
            <wp:positionV relativeFrom="paragraph">
              <wp:posOffset>-27305</wp:posOffset>
            </wp:positionV>
            <wp:extent cx="7094220" cy="444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220" cy="4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Produkt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Produkt: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Vanguard S&amp;P 500 UCITS ETF ("Fundusz") - (USD)</w:t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IE00BFMXXD54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Vanguard Group (Ireland) Limited ("VGIL")</w:t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Zadzwoń pod numer +44 207 489 4305, aby uzyskać więcej informacji - https://global.vanguard.com - Niniejszy dokument zawierający kluczowe informacje datowany jest 13/03/2023.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Bank Centralny Irlandii ("Bank Centralny") jest odpowiedzialny za nadzór nad VGIL w związku z niniejszym dokumentem zawierającym kluczowe informacje.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Fundusz uzyskał zezwolenie w Irlandii i został zarejestrowany do sprzedaży w innych państwach członkowskich EOG.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Zamierzasz kupić Fundusz, który nie jest prosty i może być trudny do zrozumienia.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-18415</wp:posOffset>
            </wp:positionH>
            <wp:positionV relativeFrom="paragraph">
              <wp:posOffset>4445</wp:posOffset>
            </wp:positionV>
            <wp:extent cx="7094220" cy="444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220" cy="4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103"/>
          </w:cols>
          <w:pgMar w:left="397" w:top="552" w:right="406" w:bottom="1440" w:gutter="0" w:footer="0" w:header="0"/>
        </w:sectPr>
      </w:pPr>
    </w:p>
    <w:p>
      <w:pPr>
        <w:spacing w:after="0" w:line="8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Co to za produkt?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"/>
        <w:spacing w:after="0" w:line="25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Rodzaj: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Fundusz jest subfunduszem Vanguard Funds plc ("VF"), UCITS posiadającym zezwolenie Banku Centralnego Irlandii.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Termin: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Fundusz nie ma ustalonego terminu zapadalności, może jednak zostać rozwiązany w określonych okolicznościach, jak opisano w prospekcie emisyjnym VF ("Prospekt"), w tym jeżeli wartość aktywów netto Funduszu spadnie poniżej 100 mln USD lub jego równowartości w innej walucie.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Cele: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Fundusz stosuje podejście inwestycyjne polegające na pasywnym zarządzaniu - lub indeksacji - poprzez fizyczne nabywanie papierów wartościowych i dąży do śledzenia wyników indeksu Standard and Poor's 500 Index ("Indeks").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Indeks obejmuje akcje dużych spółek w Stanach Zjednoczonych.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Fundusz stara się: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" w:hanging="3"/>
        <w:spacing w:after="0" w:line="222" w:lineRule="auto"/>
        <w:tabs>
          <w:tab w:leader="none" w:pos="243" w:val="left"/>
        </w:tabs>
        <w:numPr>
          <w:ilvl w:val="0"/>
          <w:numId w:val="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Śledzenie wyników Indeksu poprzez inwestowanie we wszystkie papiery wartościowe wchodzące w skład Indeksu w takiej samej proporcji jak Indeks.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Jeżeli pełne odtworzenie wyników nie jest wykonalne, Fundusz stosuje procedurę doboru próby.</w:t>
      </w:r>
    </w:p>
    <w:p>
      <w:pPr>
        <w:spacing w:after="0" w:line="1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jc w:val="both"/>
        <w:ind w:left="3" w:hanging="3"/>
        <w:spacing w:after="0" w:line="222" w:lineRule="auto"/>
        <w:tabs>
          <w:tab w:leader="none" w:pos="202" w:val="left"/>
        </w:tabs>
        <w:numPr>
          <w:ilvl w:val="0"/>
          <w:numId w:val="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Pozostają w pełni zainwestowane, z wyjątkiem nadzwyczajnych warunków rynkowych, politycznych lub podobnych, w których Fundusz może tymczasowo odstąpić od tej polityki inwestycyjnej w celu uniknięcia strat.</w:t>
      </w:r>
    </w:p>
    <w:p>
      <w:pPr>
        <w:spacing w:after="0" w:line="2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Fundusz inwestuje w papiery wartościowe denominowane w walutach innych niż waluta notowania.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Zmiany kursów walut mogą wpływać na zwrot z inwestycji.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Fundusz może wykorzystywać instrumenty pochodne w celu zmniejszenia ryzyka lub kosztów i/lub generowania dodatkowych dochodów lub wzrostu.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Instrument pochodny to kontrakt finansowy, którego wartość opiera się na wartości składnika aktywów finansowych (takiego jak akcja, obligacja lub waluta) lub indeksie rynkowym.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-18415</wp:posOffset>
            </wp:positionH>
            <wp:positionV relativeFrom="paragraph">
              <wp:posOffset>48895</wp:posOffset>
            </wp:positionV>
            <wp:extent cx="7094220" cy="444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220" cy="4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Akcje Funduszu mogą być nabywane, zbywane lub wymieniane codziennie (z wyjątkiem niektórych dni świątecznych / świątecznych oraz z zastrzeżeniem określonych ograniczeń opisanych w Załączniku nr 1 do Prospektu) poprzez złożenie wniosku w formie pisemnej.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0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VF jest funduszem parasolowym, którego odpowiedzialność jest rozdzielona między subfundusze.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Oznacza to, że udziały funduszu są utrzymywane odrębnie na mocy prawa irlandzkiego od udziałów innych subfunduszy VF, a na inwestycję w fundusz nie będą miały wpływu żadne roszczenia wobec jakiegokolwiek innego subfunduszu VF.</w:t>
      </w:r>
    </w:p>
    <w:p>
      <w:pPr>
        <w:spacing w:after="0" w:line="1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Zamierzony inwestor detaliczny: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Fundusz jest dostępny dla szerokiego grona inwestorów poszukujących dostępu do portfela zarządzanego zgodnie z określonym celem i polityką inwestycyjną.</w:t>
      </w:r>
    </w:p>
    <w:p>
      <w:pPr>
        <w:spacing w:after="0" w:line="9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Depozytariuszem VF jest Brown Brothers Harriman Trustee Services (Ireland) Limited.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16" w:lineRule="auto"/>
        <w:rPr>
          <w:rFonts w:ascii="Arial" w:cs="Arial" w:eastAsia="Arial" w:hAnsi="Arial"/>
          <w:sz w:val="16"/>
          <w:szCs w:val="16"/>
          <w:color w:val="0000FF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Kopie Prospektu oraz ostatniego raportu rocznego i półrocznego oraz sprawozdania finansowego Vanguard Funds plc ("VF") wraz z najnowszymi opublikowanymi cenami akcji i innymi praktycznymi informacjami można uzyskać od VF c/o Brown Brothers Harriman Fund Administration Services (Ireland) Limited, 30 </w:t>
      </w:r>
      <w:hyperlink r:id="rId16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231F20"/>
          </w:rPr>
          <w:t xml:space="preserve">Herbert Street, Dublin 2, D02 W329, Irlandia lub z naszej strony internetowej pod adresem</w:t>
        </w:r>
      </w:hyperlink>
      <w:hyperlink r:id="rId16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0000FF"/>
          </w:rPr>
          <w:t xml:space="preserve"> https:// </w:t>
        </w:r>
      </w:hyperlink>
      <w:hyperlink r:id="rId16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0000FF"/>
          </w:rPr>
          <w:t xml:space="preserve">global.vanguard.com</w:t>
        </w:r>
      </w:hyperlink>
      <w:hyperlink r:id="rId16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231F20"/>
          </w:rPr>
          <w:t xml:space="preserve">.</w:t>
        </w:r>
      </w:hyperlink>
      <w:hyperlink r:id="rId16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231F20"/>
          </w:rPr>
          <w:t xml:space="preserve"> Informacje na temat polityki ujawniania portfela Funduszu </w:t>
        </w:r>
      </w:hyperlink>
      <w:hyperlink r:id="rId17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231F20"/>
          </w:rPr>
          <w:t xml:space="preserve">oraz publikacji iNAV można uzyskać na stronie</w:t>
        </w:r>
      </w:hyperlink>
      <w:hyperlink r:id="rId17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0000FF"/>
          </w:rPr>
          <w:t xml:space="preserve"> https://global.vanguard.com/ </w:t>
        </w:r>
      </w:hyperlink>
      <w:hyperlink r:id="rId17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0000FF"/>
          </w:rPr>
          <w:t xml:space="preserve">portal/strona/portal/ucits-documentation</w:t>
        </w:r>
      </w:hyperlink>
      <w:hyperlink r:id="rId17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231F20"/>
          </w:rPr>
          <w:t xml:space="preserve">.</w:t>
        </w:r>
      </w:hyperlink>
      <w:hyperlink r:id="rId17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231F20"/>
          </w:rPr>
          <w:t xml:space="preserve"> Dokumenty są dostępne w </w:t>
        </w:r>
      </w:hyperlink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języku angielskim i są bezpłatne.</w:t>
      </w:r>
    </w:p>
    <w:p>
      <w:pPr>
        <w:spacing w:after="0" w:line="425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sectPr>
          <w:pgSz w:w="11900" w:h="16838" w:orient="portrait"/>
          <w:cols w:equalWidth="0" w:num="2">
            <w:col w:w="5423" w:space="260"/>
            <w:col w:w="5420"/>
          </w:cols>
          <w:pgMar w:left="397" w:top="552" w:right="406" w:bottom="1440" w:gutter="0" w:footer="0" w:header="0"/>
          <w:type w:val="continuous"/>
        </w:sect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Jakie jest ryzyko i co mogę dostać w zamian?</w:t>
      </w:r>
    </w:p>
    <w:p>
      <w:pPr>
        <w:spacing w:after="0" w:line="118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231F20"/>
        </w:rPr>
        <w:t xml:space="preserve">Wskaźnik Ryzyka</w:t>
      </w:r>
    </w:p>
    <w:p>
      <w:pPr>
        <w:spacing w:after="0" w:line="20" w:lineRule="exact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6"/>
          <w:szCs w:val="16"/>
          <w:color w:val="0000FF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17145</wp:posOffset>
            </wp:positionH>
            <wp:positionV relativeFrom="paragraph">
              <wp:posOffset>161290</wp:posOffset>
            </wp:positionV>
            <wp:extent cx="3407410" cy="394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410" cy="394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9" w:lineRule="exact"/>
        <w:rPr>
          <w:rFonts w:ascii="Arial" w:cs="Arial" w:eastAsia="Arial" w:hAnsi="Arial"/>
          <w:sz w:val="16"/>
          <w:szCs w:val="16"/>
          <w:color w:val="0000FF"/>
        </w:rPr>
      </w:pPr>
    </w:p>
    <w:tbl>
      <w:tblPr>
        <w:tblLayout w:type="fixed"/>
        <w:tblInd w:w="6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5"/>
        </w:trPr>
        <w:tc>
          <w:tcPr>
            <w:tcW w:w="88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color w:val="auto"/>
              </w:rPr>
              <w:t xml:space="preserve">1</w:t>
            </w:r>
          </w:p>
        </w:tc>
        <w:tc>
          <w:tcPr>
            <w:tcW w:w="640" w:type="dxa"/>
            <w:vAlign w:val="bottom"/>
          </w:tcPr>
          <w:p>
            <w:pPr xmlns:w="http://schemas.openxmlformats.org/wordprocessingml/2006/main">
              <w:jc w:val="right"/>
              <w:ind w:right="2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color w:val="auto"/>
              </w:rPr>
              <w:t xml:space="preserve">2</w:t>
            </w:r>
          </w:p>
        </w:tc>
        <w:tc>
          <w:tcPr>
            <w:tcW w:w="74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color w:val="auto"/>
              </w:rPr>
              <w:t xml:space="preserve">3</w:t>
            </w:r>
          </w:p>
        </w:tc>
        <w:tc>
          <w:tcPr>
            <w:tcW w:w="76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color w:val="auto"/>
              </w:rPr>
              <w:t xml:space="preserve">4</w:t>
            </w:r>
          </w:p>
        </w:tc>
        <w:tc>
          <w:tcPr>
            <w:tcW w:w="760" w:type="dxa"/>
            <w:vAlign w:val="bottom"/>
          </w:tcPr>
          <w:p>
            <w:pPr xmlns:w="http://schemas.openxmlformats.org/wordprocessingml/2006/main">
              <w:jc w:val="right"/>
              <w:ind w:right="2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color w:val="FFFFFF"/>
              </w:rPr>
              <w:t xml:space="preserve">5</w:t>
            </w:r>
          </w:p>
        </w:tc>
        <w:tc>
          <w:tcPr>
            <w:tcW w:w="620" w:type="dxa"/>
            <w:vAlign w:val="bottom"/>
          </w:tcPr>
          <w:p>
            <w:pPr xmlns:w="http://schemas.openxmlformats.org/wordprocessingml/2006/main"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color w:val="auto"/>
              </w:rPr>
              <w:t xml:space="preserve">6</w:t>
            </w:r>
          </w:p>
        </w:tc>
        <w:tc>
          <w:tcPr>
            <w:tcW w:w="860" w:type="dxa"/>
            <w:vAlign w:val="bottom"/>
          </w:tcPr>
          <w:p>
            <w:pPr xmlns:w="http://schemas.openxmlformats.org/wordprocessingml/2006/main">
              <w:jc w:val="right"/>
              <w:ind w:right="18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color w:val="auto"/>
              </w:rPr>
              <w:t xml:space="preserve">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9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83"/>
        </w:trPr>
        <w:tc>
          <w:tcPr>
            <w:tcW w:w="88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231F20"/>
                <w:w w:val="97"/>
              </w:rPr>
              <w:t xml:space="preserve">Niższe ryzyko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 xmlns:w="http://schemas.openxmlformats.org/wordprocessingml/2006/main">
              <w:jc w:val="center"/>
              <w:ind w:left="6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231F20"/>
              </w:rPr>
              <w:t xml:space="preserve">Wyższe ryzyko</w:t>
            </w:r>
          </w:p>
        </w:tc>
      </w:tr>
    </w:tbl>
    <w:p>
      <w:pPr>
        <w:spacing w:after="0" w:line="20" w:lineRule="exact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6"/>
          <w:szCs w:val="16"/>
          <w:color w:val="0000FF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-241300</wp:posOffset>
            </wp:positionV>
            <wp:extent cx="79375" cy="1098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3319780</wp:posOffset>
            </wp:positionH>
            <wp:positionV relativeFrom="paragraph">
              <wp:posOffset>-241300</wp:posOffset>
            </wp:positionV>
            <wp:extent cx="79375" cy="1098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-71120</wp:posOffset>
            </wp:positionH>
            <wp:positionV relativeFrom="paragraph">
              <wp:posOffset>69850</wp:posOffset>
            </wp:positionV>
            <wp:extent cx="617855" cy="50292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6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 xmlns:w="http://schemas.openxmlformats.org/wordprocessingml/2006/main">
        <w:jc w:val="both"/>
        <w:ind w:left="823" w:right="140"/>
        <w:spacing w:after="0" w:line="26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231F20"/>
        </w:rPr>
        <w:t xml:space="preserve">Wskaźnik ryzyka zakłada utrzymanie Funduszu przez 5 lat.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231F20"/>
        </w:rPr>
        <w:t xml:space="preserve"> Rzeczywiste ryzyko może się znacznie różnić, jeśli dokonasz wpłaty na wczesnym etapie, a otrzymasz mniej.</w:t>
      </w:r>
    </w:p>
    <w:p>
      <w:pPr>
        <w:spacing w:after="0" w:line="289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 xmlns:w="http://schemas.openxmlformats.org/wordprocessingml/2006/main">
        <w:jc w:val="both"/>
        <w:ind w:left="3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Możesz nie być w stanie spieniężyć wcześniej.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Być może będziesz musiał zapłacić znaczne dodatkowe koszty za gotówkę na wczesnym etapie.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Możesz nie być w stanie łatwo sprzedać swoje akcje w Funduszu lub być może będziesz musiał sprzedać po cenie, która ma znaczący wpływ na to, ile otrzymasz.</w:t>
      </w:r>
    </w:p>
    <w:p>
      <w:pPr>
        <w:spacing w:after="0" w:line="21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 xmlns:w="http://schemas.openxmlformats.org/wordprocessingml/2006/main">
        <w:jc w:val="both"/>
        <w:ind w:left="3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Podsumowujący wskaźnik ryzyka jest przewodnikiem po poziomie ryzyka tego funduszu w porównaniu z innymi funduszami.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Pokazuje, jak duże jest prawdopodobieństwo, że Fundusz przegra</w:t>
      </w:r>
    </w:p>
    <w:p>
      <w:pPr xmlns:w="http://schemas.openxmlformats.org/wordprocessingml/2006/main">
        <w:spacing w:after="0" w:line="20" w:lineRule="exact"/>
        <w:rPr>
          <w:rFonts w:ascii="Arial" w:cs="Arial" w:eastAsia="Arial" w:hAnsi="Arial"/>
          <w:sz w:val="16"/>
          <w:szCs w:val="16"/>
          <w:color w:val="0000FF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0000FF"/>
        </w:rPr>
        <w:br xmlns:w="http://schemas.openxmlformats.org/wordprocessingml/2006/main" w:type="column"/>
      </w:r>
    </w:p>
    <w:p>
      <w:pPr>
        <w:spacing w:after="0" w:line="368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pieniądze z powodu zmian na rynkach lub dlatego, że nie jesteśmy w stanie Ci zapłacić.</w:t>
      </w:r>
    </w:p>
    <w:p>
      <w:pPr>
        <w:spacing w:after="0" w:line="14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 xmlns:w="http://schemas.openxmlformats.org/wordprocessingml/2006/main">
        <w:jc w:val="both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Zaklasyfikowaliśmy ten Fundusz jako 5 z 7, co jest klasą średniego ryzyka.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W ten sposób ocenia się potencjalne straty wynikające z przyszłych wyników na średnim poziomie, a złe warunki rynkowe prawdopodobnie wpłyną na zdolność Funduszu do wypłaty.</w:t>
      </w:r>
    </w:p>
    <w:p>
      <w:pPr>
        <w:spacing w:after="0" w:line="17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 xmlns:w="http://schemas.openxmlformats.org/wordprocessingml/2006/main">
        <w:jc w:val="both"/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Bądź świadomy ryzyka walutowego.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 Możesz otrzymywać płatności w innej walucie niż waluta bazowa Funduszu, więc ostateczny zwrot będzie zależał od kursu wymiany między tymi dwiema walutami.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 Ryzyko to nie jest uwzględniane we wskaźniku przedstawionym powyżej.</w:t>
      </w:r>
    </w:p>
    <w:p>
      <w:pPr>
        <w:spacing w:after="0" w:line="83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Poza ryzykami rynkowymi uwzględnionymi we wskaźniku ryzyka na Fundusz mogą mieć wpływ inne ryzyka, w tym ryzyko kontrahenta, ryzyko związane z śledzeniem indeksów oraz ryzyko inwestycyjne.</w:t>
      </w:r>
    </w:p>
    <w:p>
      <w:pPr>
        <w:spacing w:after="0" w:line="14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Więcej informacji na temat ryzyk znajduje się w sekcji "Czynniki ryzyka" prospektu na naszej stronie internetowej pod adresem https://global.vanguard.com</w:t>
      </w:r>
    </w:p>
    <w:p>
      <w:pPr>
        <w:spacing w:after="0" w:line="4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Fundusz ten nie obejmuje żadnej ochrony przed przyszłymi wynikami rynkowymi, więc możesz stracić część lub całość inwestycji.</w:t>
      </w:r>
    </w:p>
    <w:p>
      <w:pPr>
        <w:spacing w:after="0" w:line="13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 xmlns:w="http://schemas.openxmlformats.org/wordprocessingml/2006/main">
        <w:jc w:val="both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Na wartość akcji i papierów wartościowych o charakterze udziałowym mogą mieć wpływ codzienne zmiany na rynku akcji.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Wśród innych wpływowych czynników można wymienić wydarzenia polityczne, wiadomości gospodarcze, zyski firm i ważne wydarzenia korporacyjne.</w:t>
      </w:r>
    </w:p>
    <w:p>
      <w:pPr>
        <w:sectPr>
          <w:pgSz w:w="11900" w:h="16838" w:orient="portrait"/>
          <w:cols w:equalWidth="0" w:num="2">
            <w:col w:w="5423" w:space="260"/>
            <w:col w:w="5420"/>
          </w:cols>
          <w:pgMar w:left="397" w:top="552" w:right="406" w:bottom="144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233045</wp:posOffset>
            </wp:positionH>
            <wp:positionV relativeFrom="page">
              <wp:posOffset>334010</wp:posOffset>
            </wp:positionV>
            <wp:extent cx="7094220" cy="444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220" cy="4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Scenariusze wydajności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To, co otrzymasz z tego funduszu, zależy od przyszłych wyników rynkowych.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Rozwój rynku w przyszłości jest niepewny i nie można go dokładnie przewidzieć.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Niekorzystne, umiarkowane i korzystne scenariusze są ilustracjami, które przedstawiają najgorsze, średnie i najlepsze wyniki Indeksu w ciągu ostatnich 10 lat.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Rynki mogą w przyszłości rozwijać się zupełnie inaczej.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-18415</wp:posOffset>
            </wp:positionH>
            <wp:positionV relativeFrom="paragraph">
              <wp:posOffset>43815</wp:posOffset>
            </wp:positionV>
            <wp:extent cx="7058025" cy="267335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267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3"/>
        <w:spacing w:after="0"/>
        <w:tabs>
          <w:tab w:leader="none" w:pos="7403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Zalecany okres przechowywania: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5 lat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3"/>
        <w:spacing w:after="0"/>
        <w:tabs>
          <w:tab w:leader="none" w:pos="7403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Przykład inwestycji: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10 000 $</w:t>
      </w:r>
    </w:p>
    <w:p>
      <w:pPr>
        <w:spacing w:after="0" w:line="7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972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Jeśli wyjdziesz po 5</w:t>
      </w:r>
    </w:p>
    <w:p>
      <w:pPr xmlns:w="http://schemas.openxmlformats.org/wordprocessingml/2006/main">
        <w:ind w:left="7503"/>
        <w:spacing w:after="0" w:line="19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0"/>
          <w:szCs w:val="10"/>
          <w:b w:val="1"/>
          <w:bCs w:val="1"/>
          <w:color w:val="231F20"/>
        </w:rPr>
        <w:t xml:space="preserve">Jeśli wyjdziesz po 1 roku</w:t>
      </w:r>
    </w:p>
    <w:p>
      <w:pPr xmlns:w="http://schemas.openxmlformats.org/wordprocessingml/2006/main">
        <w:ind w:left="10583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lat</w:t>
      </w:r>
    </w:p>
    <w:p>
      <w:pPr>
        <w:sectPr>
          <w:pgSz w:w="11900" w:h="16838" w:orient="portrait"/>
          <w:cols w:equalWidth="0" w:num="1">
            <w:col w:w="11103"/>
          </w:cols>
          <w:pgMar w:left="397" w:top="606" w:right="406" w:bottom="1440" w:gutter="0" w:footer="0" w:header="0"/>
        </w:sectPr>
      </w:pPr>
    </w:p>
    <w:p>
      <w:pPr>
        <w:spacing w:after="0" w:line="6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Scenariusze</w:t>
      </w:r>
    </w:p>
    <w:p>
      <w:pPr>
        <w:spacing w:after="0" w:line="12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Minimalne</w:t>
      </w:r>
    </w:p>
    <w:p>
      <w:pPr>
        <w:spacing w:after="0" w:line="2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Naprężenie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Niekorzystny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Umiarkowane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Korzystne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376" w:lineRule="exact"/>
        <w:rPr>
          <w:sz w:val="20"/>
          <w:szCs w:val="20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9"/>
        </w:trPr>
        <w:tc>
          <w:tcPr>
            <w:tcW w:w="8740" w:type="dxa"/>
            <w:vAlign w:val="bottom"/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Nie ma minimalnego gwarantowanego zwrotu, jeśli wyjdziesz przed 5 laty.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 Możesz stracić część lub całość inwestycji.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307"/>
        </w:trPr>
        <w:tc>
          <w:tcPr>
            <w:tcW w:w="4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Co możesz odzyskać po kosztach</w:t>
            </w:r>
          </w:p>
        </w:tc>
        <w:tc>
          <w:tcPr>
            <w:tcW w:w="3820" w:type="dxa"/>
            <w:vAlign w:val="bottom"/>
          </w:tcPr>
          <w:p>
            <w:pPr xmlns:w="http://schemas.openxmlformats.org/wordprocessingml/2006/main">
              <w:jc w:val="right"/>
              <w:ind w:right="9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970 $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1 010 $</w:t>
            </w:r>
          </w:p>
        </w:tc>
      </w:tr>
      <w:tr>
        <w:trPr>
          <w:trHeight w:val="307"/>
        </w:trPr>
        <w:tc>
          <w:tcPr>
            <w:tcW w:w="4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Średni zwrot w każdym roku</w:t>
            </w:r>
          </w:p>
        </w:tc>
        <w:tc>
          <w:tcPr>
            <w:tcW w:w="3820" w:type="dxa"/>
            <w:vAlign w:val="bottom"/>
          </w:tcPr>
          <w:p>
            <w:pPr xmlns:w="http://schemas.openxmlformats.org/wordprocessingml/2006/main">
              <w:jc w:val="right"/>
              <w:ind w:right="9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- 90.30%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- 36,78%</w:t>
            </w:r>
          </w:p>
        </w:tc>
      </w:tr>
      <w:tr>
        <w:trPr>
          <w:trHeight w:val="307"/>
        </w:trPr>
        <w:tc>
          <w:tcPr>
            <w:tcW w:w="4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Co możesz odzyskać po kosztach</w:t>
            </w:r>
          </w:p>
        </w:tc>
        <w:tc>
          <w:tcPr>
            <w:tcW w:w="3820" w:type="dxa"/>
            <w:vAlign w:val="bottom"/>
          </w:tcPr>
          <w:p>
            <w:pPr xmlns:w="http://schemas.openxmlformats.org/wordprocessingml/2006/main">
              <w:jc w:val="right"/>
              <w:ind w:right="9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8 140 $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8 630 $</w:t>
            </w:r>
          </w:p>
        </w:tc>
      </w:tr>
      <w:tr>
        <w:trPr>
          <w:trHeight w:val="307"/>
        </w:trPr>
        <w:tc>
          <w:tcPr>
            <w:tcW w:w="4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Średni zwrot w każdym roku</w:t>
            </w:r>
          </w:p>
        </w:tc>
        <w:tc>
          <w:tcPr>
            <w:tcW w:w="3820" w:type="dxa"/>
            <w:vAlign w:val="bottom"/>
          </w:tcPr>
          <w:p>
            <w:pPr xmlns:w="http://schemas.openxmlformats.org/wordprocessingml/2006/main">
              <w:jc w:val="right"/>
              <w:ind w:right="9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- 18,60%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- 2,90%</w:t>
            </w:r>
          </w:p>
        </w:tc>
      </w:tr>
      <w:tr>
        <w:trPr>
          <w:trHeight w:val="307"/>
        </w:trPr>
        <w:tc>
          <w:tcPr>
            <w:tcW w:w="4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Co możesz odzyskać po kosztach</w:t>
            </w:r>
          </w:p>
        </w:tc>
        <w:tc>
          <w:tcPr>
            <w:tcW w:w="3820" w:type="dxa"/>
            <w:vAlign w:val="bottom"/>
          </w:tcPr>
          <w:p>
            <w:pPr xmlns:w="http://schemas.openxmlformats.org/wordprocessingml/2006/main">
              <w:jc w:val="right"/>
              <w:ind w:right="9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11 360 $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17 760 $</w:t>
            </w:r>
          </w:p>
        </w:tc>
      </w:tr>
      <w:tr>
        <w:trPr>
          <w:trHeight w:val="307"/>
        </w:trPr>
        <w:tc>
          <w:tcPr>
            <w:tcW w:w="4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Średni zwrot w każdym roku</w:t>
            </w:r>
          </w:p>
        </w:tc>
        <w:tc>
          <w:tcPr>
            <w:tcW w:w="3820" w:type="dxa"/>
            <w:vAlign w:val="bottom"/>
          </w:tcPr>
          <w:p>
            <w:pPr xmlns:w="http://schemas.openxmlformats.org/wordprocessingml/2006/main">
              <w:jc w:val="right"/>
              <w:ind w:right="9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13.60%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12.17%</w:t>
            </w:r>
          </w:p>
        </w:tc>
      </w:tr>
      <w:tr>
        <w:trPr>
          <w:trHeight w:val="307"/>
        </w:trPr>
        <w:tc>
          <w:tcPr>
            <w:tcW w:w="4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Co możesz odzyskać po kosztach</w:t>
            </w:r>
          </w:p>
        </w:tc>
        <w:tc>
          <w:tcPr>
            <w:tcW w:w="3820" w:type="dxa"/>
            <w:vAlign w:val="bottom"/>
          </w:tcPr>
          <w:p>
            <w:pPr xmlns:w="http://schemas.openxmlformats.org/wordprocessingml/2006/main">
              <w:jc w:val="right"/>
              <w:ind w:right="9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15 590 $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23 210 $</w:t>
            </w:r>
          </w:p>
        </w:tc>
      </w:tr>
      <w:tr>
        <w:trPr>
          <w:trHeight w:val="307"/>
        </w:trPr>
        <w:tc>
          <w:tcPr>
            <w:tcW w:w="4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Średni zwrot w każdym roku</w:t>
            </w:r>
          </w:p>
        </w:tc>
        <w:tc>
          <w:tcPr>
            <w:tcW w:w="3820" w:type="dxa"/>
            <w:vAlign w:val="bottom"/>
          </w:tcPr>
          <w:p>
            <w:pPr xmlns:w="http://schemas.openxmlformats.org/wordprocessingml/2006/main">
              <w:jc w:val="right"/>
              <w:ind w:right="9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55.90%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18,34%</w:t>
            </w:r>
          </w:p>
        </w:tc>
      </w:tr>
    </w:tbl>
    <w:p>
      <w:pPr>
        <w:spacing w:after="0" w:line="16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1083" w:space="380"/>
            <w:col w:w="9640"/>
          </w:cols>
          <w:pgMar w:left="397" w:top="606" w:right="406" w:bottom="1440" w:gutter="0" w:footer="0" w:header="0"/>
          <w:type w:val="continuous"/>
        </w:sectPr>
      </w:pPr>
    </w:p>
    <w:p>
      <w:pPr xmlns:w="http://schemas.openxmlformats.org/wordprocessingml/2006/main">
        <w:jc w:val="both"/>
        <w:ind w:left="3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Przedstawione dane liczbowe obejmują wszystkie koszty samego funduszu, ale mogą nie obejmować wszystkich kosztów, które płacisz swojemu doradcy lub dystrybutorowi.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Liczby nie uwzględniają Twojej osobistej sytuacji podatkowej, co może mieć również wpływ na to, ile odzyskasz.</w:t>
      </w:r>
    </w:p>
    <w:p>
      <w:pPr>
        <w:spacing w:after="0" w:line="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3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Scenariusz warunków skrajnych pokazuje, co możesz odzyskać w ekstremalnych warunkach rynkowych.</w:t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Tego Funduszu nie da się łatwo spieniężyć.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-18415</wp:posOffset>
            </wp:positionH>
            <wp:positionV relativeFrom="paragraph">
              <wp:posOffset>-4445</wp:posOffset>
            </wp:positionV>
            <wp:extent cx="7094220" cy="4445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220" cy="4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Scenariusz niekorzystny: taki scenariusz miał miejsce dla Indeksu w latach 2021-2023.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Scenariusz umiarkowany: taki scenariusz miał miejsce dla Indeksu w latach 2013-2018.</w:t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Scenariusz korzystny: Taki scenariusz miał miejsce dla Indeksu w latach 2016-2021.</w:t>
      </w:r>
    </w:p>
    <w:p>
      <w:pPr>
        <w:spacing w:after="0" w:line="19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5423" w:space="260"/>
            <w:col w:w="5420"/>
          </w:cols>
          <w:pgMar w:left="397" w:top="606" w:right="406" w:bottom="1440" w:gutter="0" w:footer="0" w:header="0"/>
          <w:type w:val="continuous"/>
        </w:sect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Co się stanie, jeśli VGIL nie będzie w stanie wypłacić?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3"/>
        <w:spacing w:after="0" w:line="22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Aktywa Funduszu są przechowywane przez depozytariusza.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W przypadku niewypłacalności VGIL majątek funduszu przechowywany przez depozytariusza nie zostanie naruszony.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Jednakże w przypadku niewypłacalności depozytariusza lub osoby działającej w jego imieniu Fundusz może ponieść stratę finansową.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Ryzyko to jest w pewnym stopniu ograniczane przez fakt, że depozytariusz jest zobowiązany na mocy przepisów ustawowych i wykonawczych do oddzielenia swoich aktywów od aktywów Funduszu.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Depozytariusz będzie również odpowiedzialny wobec Funduszu i inwestorów za wszelkie straty wynikające między innymi z jego zaniedbania, oszustwa lub umyślnego niewłaściwego wypełnienia jego obowiązków (z zastrzeżeniem pewnych ograniczeń).</w:t>
      </w:r>
    </w:p>
    <w:p>
      <w:pPr>
        <w:spacing w:after="0" w:line="2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Nie istnieje system rekompensat ani gwarancji chroniący przed niewykonaniem zobowiązania przez depozytariusza Funduszu.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-18415</wp:posOffset>
            </wp:positionH>
            <wp:positionV relativeFrom="paragraph">
              <wp:posOffset>-4445</wp:posOffset>
            </wp:positionV>
            <wp:extent cx="7094220" cy="4445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220" cy="4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Jakie są koszty?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3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Osoba doradzająca lub sprzedająca Fundusz może obciążyć Cię innymi kosztami.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Jeśli tak, osoba ta przekaże Ci informacje o tych kosztach i ich wpływie na Twoją inwestycję.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231F20"/>
        </w:rPr>
        <w:t xml:space="preserve">Koszty w czasie</w:t>
      </w:r>
    </w:p>
    <w:p>
      <w:pPr>
        <w:spacing w:after="0" w:line="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3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W tabelach przedstawiono kwoty pobrane z inwestycji w celu pokrycia różnych rodzajów kosztów.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Kwoty te zależą od tego, ile zainwestujecie Państwo w Fundusz, jak długo będziecie w niego inwestować oraz jak dobrze Fundusz będzie sobie radził.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Przedstawione tu kwoty są ilustracjami opartymi na przykładowej kwocie inwestycji i różnych możliwych okresach inwestycji.</w:t>
      </w:r>
    </w:p>
    <w:p>
      <w:pPr>
        <w:spacing w:after="0" w:line="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Założyliśmy: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 w:hanging="3"/>
        <w:spacing w:after="0" w:line="229" w:lineRule="auto"/>
        <w:tabs>
          <w:tab w:leader="none" w:pos="103" w:val="left"/>
        </w:tabs>
        <w:numPr>
          <w:ilvl w:val="0"/>
          <w:numId w:val="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W pierwszym roku otrzymasz kwotę, którą zainwestowałeś (0% rocznego zwrotu).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W odniesieniu do pozostałych okresów utrzymywania funduszy założyliśmy, że Fundusz działa zgodnie ze scenariuszem umiarkowanym</w:t>
      </w:r>
    </w:p>
    <w:p>
      <w:pPr xmlns:w="http://schemas.openxmlformats.org/wordprocessingml/2006/main">
        <w:ind w:left="103" w:hanging="103"/>
        <w:spacing w:after="0"/>
        <w:tabs>
          <w:tab w:leader="none" w:pos="103" w:val="left"/>
        </w:tabs>
        <w:numPr>
          <w:ilvl w:val="0"/>
          <w:numId w:val="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Inwestuje się 10 000 USD rocznie.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52705</wp:posOffset>
            </wp:positionH>
            <wp:positionV relativeFrom="paragraph">
              <wp:posOffset>-11430</wp:posOffset>
            </wp:positionV>
            <wp:extent cx="6935470" cy="70294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702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1" w:lineRule="exact"/>
        <w:rPr>
          <w:sz w:val="20"/>
          <w:szCs w:val="20"/>
          <w:color w:val="auto"/>
        </w:rPr>
      </w:pPr>
    </w:p>
    <w:tbl>
      <w:tblPr>
        <w:tblLayout w:type="fixed"/>
        <w:tblInd w:w="16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9"/>
        </w:trPr>
        <w:tc>
          <w:tcPr>
            <w:tcW w:w="3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 xmlns:w="http://schemas.openxmlformats.org/wordprocessingml/2006/main">
              <w:jc w:val="right"/>
              <w:ind w:right="8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Jeśli wyjdziesz po 1 roku</w:t>
            </w:r>
          </w:p>
        </w:tc>
        <w:tc>
          <w:tcPr>
            <w:tcW w:w="27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Wyjście z programu po 5 latach</w:t>
            </w:r>
          </w:p>
        </w:tc>
      </w:tr>
      <w:tr>
        <w:trPr>
          <w:trHeight w:val="287"/>
        </w:trPr>
        <w:tc>
          <w:tcPr>
            <w:tcW w:w="354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Koszty ogółem</w:t>
            </w:r>
          </w:p>
        </w:tc>
        <w:tc>
          <w:tcPr>
            <w:tcW w:w="4540" w:type="dxa"/>
            <w:vAlign w:val="bottom"/>
          </w:tcPr>
          <w:p>
            <w:pPr xmlns:w="http://schemas.openxmlformats.org/wordprocessingml/2006/main">
              <w:jc w:val="right"/>
              <w:ind w:right="8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9 $</w:t>
            </w:r>
          </w:p>
        </w:tc>
        <w:tc>
          <w:tcPr>
            <w:tcW w:w="27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69 $</w:t>
            </w:r>
          </w:p>
        </w:tc>
      </w:tr>
      <w:tr>
        <w:trPr>
          <w:trHeight w:val="307"/>
        </w:trPr>
        <w:tc>
          <w:tcPr>
            <w:tcW w:w="354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Roczny wpływ na koszty (*)</w:t>
            </w:r>
          </w:p>
        </w:tc>
        <w:tc>
          <w:tcPr>
            <w:tcW w:w="4540" w:type="dxa"/>
            <w:vAlign w:val="bottom"/>
          </w:tcPr>
          <w:p>
            <w:pPr xmlns:w="http://schemas.openxmlformats.org/wordprocessingml/2006/main">
              <w:jc w:val="right"/>
              <w:ind w:right="8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0.1%</w:t>
            </w:r>
          </w:p>
        </w:tc>
        <w:tc>
          <w:tcPr>
            <w:tcW w:w="27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0.1% rocznie</w:t>
            </w:r>
          </w:p>
        </w:tc>
      </w:tr>
    </w:tbl>
    <w:p>
      <w:pPr>
        <w:spacing w:after="0" w:line="19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 w:hanging="3"/>
        <w:spacing w:after="0" w:line="248" w:lineRule="auto"/>
        <w:tabs>
          <w:tab w:leader="none" w:pos="22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Pokazuje to, w jaki sposób koszty zmniejszają zwrot z inwestycji każdego roku w okresie utrzymywania.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Na przykład pokazuje to, że jeśli opuścisz zakład w zalecanym okresie utrzymywania, średni zwrot z inwestycji w ciągu roku wyniesie 12.3 % przed kosztami i 12.2 % po kosztach.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Możemy podzielić się częścią kosztów z osobą sprzedającą Fundusz w celu pokrycia usług, które Ci świadczą.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Poinformują Cię o kwocie.</w:t>
      </w:r>
    </w:p>
    <w:p>
      <w:pPr>
        <w:sectPr>
          <w:pgSz w:w="11900" w:h="16838" w:orient="portrait"/>
          <w:cols w:equalWidth="0" w:num="1">
            <w:col w:w="11103"/>
          </w:cols>
          <w:pgMar w:left="397" w:top="606" w:right="406" w:bottom="1440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231F20"/>
        </w:rPr>
        <w:t xml:space="preserve">Struktura kosztów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-18415</wp:posOffset>
            </wp:positionH>
            <wp:positionV relativeFrom="paragraph">
              <wp:posOffset>13335</wp:posOffset>
            </wp:positionV>
            <wp:extent cx="7094220" cy="217551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220" cy="2175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2" w:lineRule="exact"/>
        <w:rPr>
          <w:sz w:val="20"/>
          <w:szCs w:val="20"/>
          <w:color w:val="auto"/>
        </w:rPr>
      </w:pPr>
    </w:p>
    <w:tbl>
      <w:tblPr>
        <w:tblLayout w:type="fixed"/>
        <w:tblInd w:w="6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9"/>
        </w:trPr>
        <w:tc>
          <w:tcPr>
            <w:tcW w:w="8760" w:type="dxa"/>
            <w:vAlign w:val="bottom"/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Jednorazowe koszty przy wjeździe lub wyjeździe</w:t>
            </w:r>
          </w:p>
        </w:tc>
        <w:tc>
          <w:tcPr>
            <w:tcW w:w="206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Jeśli wyjdziesz po 1 roku</w:t>
            </w:r>
          </w:p>
        </w:tc>
      </w:tr>
      <w:tr>
        <w:trPr>
          <w:trHeight w:val="287"/>
        </w:trPr>
        <w:tc>
          <w:tcPr>
            <w:tcW w:w="154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Koszty wejścia</w:t>
            </w:r>
          </w:p>
        </w:tc>
        <w:tc>
          <w:tcPr>
            <w:tcW w:w="7220" w:type="dxa"/>
            <w:vAlign w:val="bottom"/>
          </w:tcPr>
          <w:p>
            <w:pPr xmlns:w="http://schemas.openxmlformats.org/wordprocessingml/2006/main"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Fundusz nie pobiera opłaty wpisowej.</w:t>
            </w:r>
          </w:p>
        </w:tc>
        <w:tc>
          <w:tcPr>
            <w:tcW w:w="2060" w:type="dxa"/>
            <w:vAlign w:val="bottom"/>
          </w:tcPr>
          <w:p>
            <w:pPr xmlns:w="http://schemas.openxmlformats.org/wordprocessingml/2006/main">
              <w:jc w:val="right"/>
              <w:ind w:right="13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0 $</w:t>
            </w:r>
          </w:p>
        </w:tc>
      </w:tr>
      <w:tr>
        <w:trPr>
          <w:trHeight w:val="307"/>
        </w:trPr>
        <w:tc>
          <w:tcPr>
            <w:tcW w:w="154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Koszty wyjścia</w:t>
            </w:r>
          </w:p>
        </w:tc>
        <w:tc>
          <w:tcPr>
            <w:tcW w:w="7220" w:type="dxa"/>
            <w:vAlign w:val="bottom"/>
          </w:tcPr>
          <w:p>
            <w:pPr xmlns:w="http://schemas.openxmlformats.org/wordprocessingml/2006/main"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Fundusz nie pobiera opłaty za wyjście, ale osoba sprzedająca Fundusz może to zrobić.</w:t>
            </w:r>
          </w:p>
        </w:tc>
        <w:tc>
          <w:tcPr>
            <w:tcW w:w="2060" w:type="dxa"/>
            <w:vAlign w:val="bottom"/>
          </w:tcPr>
          <w:p>
            <w:pPr xmlns:w="http://schemas.openxmlformats.org/wordprocessingml/2006/main">
              <w:jc w:val="right"/>
              <w:ind w:right="13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0 $</w:t>
            </w:r>
          </w:p>
        </w:tc>
      </w:tr>
    </w:tbl>
    <w:p>
      <w:pPr>
        <w:spacing w:after="0" w:line="9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Koszty bieżące ponoszone każdego roku</w:t>
      </w:r>
    </w:p>
    <w:p>
      <w:pPr>
        <w:spacing w:after="0" w:line="8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Opłaty za zarządzanie i inne</w:t>
      </w:r>
    </w:p>
    <w:p>
      <w:pPr xmlns:w="http://schemas.openxmlformats.org/wordprocessingml/2006/main">
        <w:ind w:left="2383"/>
        <w:spacing w:after="0" w:line="19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0"/>
          <w:szCs w:val="10"/>
          <w:color w:val="231F20"/>
        </w:rPr>
        <w:t xml:space="preserve">0.07% wartości inwestycji rocznie.</w:t>
      </w:r>
      <w:r>
        <w:rPr xmlns:w="http://schemas.openxmlformats.org/wordprocessingml/2006/main">
          <w:rFonts w:ascii="Arial" w:cs="Arial" w:eastAsia="Arial" w:hAnsi="Arial"/>
          <w:sz w:val="10"/>
          <w:szCs w:val="10"/>
          <w:color w:val="231F20"/>
        </w:rPr>
        <w:t xml:space="preserve"> Jest to szacunek oparty na rzeczywistych kosztach</w:t>
      </w:r>
    </w:p>
    <w:p>
      <w:pPr xmlns:w="http://schemas.openxmlformats.org/wordprocessingml/2006/main">
        <w:jc w:val="both"/>
        <w:ind w:left="2383" w:right="1680" w:hanging="2319"/>
        <w:spacing w:after="0"/>
        <w:tabs>
          <w:tab w:leader="none" w:pos="2363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administracyjne lub operacyjne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7 dolarów w ostatnim roku i uwzględnia wszelkie znane przyszłe zmiany.</w:t>
      </w:r>
    </w:p>
    <w:p>
      <w:pPr xmlns:w="http://schemas.openxmlformats.org/wordprocessingml/2006/main">
        <w:ind w:left="63"/>
        <w:spacing w:after="0" w:line="21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koszty</w:t>
      </w:r>
    </w:p>
    <w:p>
      <w:pPr>
        <w:spacing w:after="0" w:line="9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38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0.02% wartości inwestycji rocznie.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Jest to szacunek kosztów poniesionych w przypadku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383" w:right="1680" w:hanging="2319"/>
        <w:spacing w:after="0" w:line="239" w:lineRule="auto"/>
        <w:tabs>
          <w:tab w:leader="none" w:pos="2363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Koszty transakcyjne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kupujemy i sprzedajemy inwestycje bazowe na rzecz Funduszu.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Rzeczywista kwota będzie się różnić o 2 dolary w zależności od tego, ile kupujemy i sprzedajemy.</w:t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Koszty uboczne ponoszone na określonych warunkach</w: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Opłaty za wyniki </w:t>
      </w:r>
      <w:r xmlns:w="http://schemas.openxmlformats.org/wordprocessingml/2006/main">
        <w:rPr>
          <w:sz w:val="1"/>
          <w:szCs w:val="1"/>
          <w:color w:val="auto"/>
        </w:rPr>
        <w:drawing>
          <wp:inline xmlns:wp="http://schemas.openxmlformats.org/drawingml/2006/wordprocessingDrawing" distT="0" distB="0" distL="0" distR="0">
            <wp:extent cx="43180" cy="23304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W przypadku tego funduszu nie ma opłaty za wyniki.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                                           </w:t>
      </w:r>
      <w:r xmlns:w="http://schemas.openxmlformats.org/wordprocessingml/2006/main">
        <w:rPr>
          <w:sz w:val="1"/>
          <w:szCs w:val="1"/>
          <w:color w:val="auto"/>
        </w:rPr>
        <w:drawing>
          <wp:inline xmlns:wp="http://schemas.openxmlformats.org/drawingml/2006/wordprocessingDrawing" distT="0" distB="0" distL="0" distR="0">
            <wp:extent cx="43180" cy="23304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0 $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-18415</wp:posOffset>
            </wp:positionH>
            <wp:positionV relativeFrom="paragraph">
              <wp:posOffset>36830</wp:posOffset>
            </wp:positionV>
            <wp:extent cx="7094220" cy="4445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220" cy="4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Jak długo powinienem go trzymać i czy mogę wcześnie zabrać pieniądze?</w:t>
      </w:r>
    </w:p>
    <w:p>
      <w:pPr>
        <w:spacing w:after="0" w:line="10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Zalecany okres przechowywania: 5 lat</w:t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Fundusz nie ma wymaganego minimalnego okresu utrzymywania, ale jest przeznaczony na inwestycje długoterminowe; należy mieć horyzont inwestycyjny wynoszący co najmniej 5 lat.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W części prospektu zatytułowanej "Umorzenie akcji" znajdują się określone opłaty należne z tytułu umorzeń.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-18415</wp:posOffset>
            </wp:positionH>
            <wp:positionV relativeFrom="paragraph">
              <wp:posOffset>-4445</wp:posOffset>
            </wp:positionV>
            <wp:extent cx="7094220" cy="444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220" cy="4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Jak mogę złożyć skargę?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3"/>
        <w:spacing w:after="0" w:line="222" w:lineRule="auto"/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Jeśli jesteś inwestorem w naszą gamę funduszy inwestycyjnych typu VF (ETF), może być wskazane, aby bezpośrednio współpracował z bankiem, brokerem, platformą transakcyjną lub doradcą finansowym, za pośrednictwem których nabyłeś akcje, w szczególności jeśli Twoja skarga dotyczy usługi.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Prosimy pamiętać, że odpowiedzi będą zazwyczaj udzielane w języku angielskim.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Jeśli z jakiegokolwiek powodu masz problemy z przesłaniem skargi do nas, skontaktuj się z Vanguard, 4th Floor, The Walbrook Building, 25 Walbrook, London, EC4N 8AF lub European_client_services@vanguard.co.uk.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Należy również pamiętać, że w danym kraju mogą być dostępne mechanizmy dochodzenia roszczeń zbiorowych lub odrębne ustalenia rzecznika praw obywatelskich. </w:t>
      </w:r>
      <w:hyperlink r:id="rId32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0000FF"/>
          </w:rPr>
          <w:t xml:space="preserve">https://global.vanguard.com/</w:t>
        </w:r>
      </w:hyperlink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-18415</wp:posOffset>
            </wp:positionH>
            <wp:positionV relativeFrom="paragraph">
              <wp:posOffset>-21590</wp:posOffset>
            </wp:positionV>
            <wp:extent cx="7094220" cy="4445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220" cy="4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Inne istotne informacje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Informacje na temat wyników Funduszu za ostatnie 3 lata można znaleźć na stronie: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3" w:hanging="103"/>
        <w:spacing w:after="0"/>
        <w:tabs>
          <w:tab w:leader="none" w:pos="103" w:val="left"/>
        </w:tabs>
        <w:numPr>
          <w:ilvl w:val="0"/>
          <w:numId w:val="4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https://docs.data2report.lu/documents/KIDPP/Vanguard_KIDPP_annex_en_IE00BFMXXD54.pdf. .</w:t>
      </w:r>
    </w:p>
    <w:p>
      <w:pPr>
        <w:spacing w:after="0" w:line="8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ind w:left="103" w:hanging="103"/>
        <w:spacing w:after="0"/>
        <w:tabs>
          <w:tab w:leader="none" w:pos="103" w:val="left"/>
        </w:tabs>
        <w:numPr>
          <w:ilvl w:val="0"/>
          <w:numId w:val="4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https://docs.data2report.lu/documents/KIDPS/Vanguard_KIDPS_annex_en_IE00BFMXXD54.pdf. .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3"/>
        <w:spacing w:after="0" w:line="220" w:lineRule="auto"/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Szczegóły Polityki Wynagrodzeń VGIL dostępne są na stronie </w:t>
      </w:r>
      <w:hyperlink r:id="rId34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0000FF"/>
          </w:rPr>
          <w:t xml:space="preserve">https://www.ie.vanguard/content/dam/intl/europe/documents/ch/en/ucits-v-remuneration-policy.pdf</w:t>
        </w:r>
      </w:hyperlink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, w tym: (a) opis sposobu wyliczania wynagrodzeń i świadczeń; oraz (b) dane osób odpowiedzialnych za przyznawanie wynagrodzeń i świadczeń.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Na życzenie VGIL, na 70 Sir John Rogerson's Quay, Dublin 2, Irlandia, można bezpłatnie otrzymać papierową kopię tych danych.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Odpowiedzialność: VGIL może zostać pociągnięty do odpowiedzialności wyłącznie na podstawie jakiegokolwiek oświadczenia zawartego w niniejszym dokumencie, które wprowadza w błąd, jest niedokładne lub niezgodne z odpowiednimi częściami prospektu emisyjnego.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Podatek: VF podlega irlandzkim przepisom podatkowym.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W zależności od państwa zamieszkania może to mieć wpływ na Pana/Pani sytuację podatkową.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Zalecamy konsultację z profesjonalnym doradcą podatkowym.</w:t>
      </w:r>
    </w:p>
    <w:sectPr>
      <w:pgSz w:w="11900" w:h="16838" w:orient="portrait"/>
      <w:cols w:equalWidth="0" w:num="1">
        <w:col w:w="11103"/>
      </w:cols>
      <w:pgMar w:left="397" w:top="589" w:right="406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4A11BE4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28D4E59B"/>
    <w:multiLevelType w:val="hybridMultilevel"/>
    <w:lvl w:ilvl="0">
      <w:lvlJc w:val="left"/>
      <w:lvlText w:val="-"/>
      <w:numFmt w:val="bullet"/>
      <w:start w:val="1"/>
    </w:lvl>
  </w:abstractNum>
  <w:abstractNum w:abstractNumId="2">
    <w:nsid w:val="278F33C7"/>
    <w:multiLevelType w:val="hybridMultilevel"/>
    <w:lvl w:ilvl="0">
      <w:lvlJc w:val="left"/>
      <w:lvlText w:val="(*)"/>
      <w:numFmt w:val="bullet"/>
      <w:start w:val="1"/>
    </w:lvl>
  </w:abstractNum>
  <w:abstractNum w:abstractNumId="3">
    <w:nsid w:val="501CC978"/>
    <w:multiLevelType w:val="hybridMultilevel"/>
    <w:lvl w:ilvl="0">
      <w:lvlJc w:val="left"/>
      <w:lvlText w:val="-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8" Type="http://schemas.openxmlformats.org/officeDocument/2006/relationships/image" Target="media/image5.png"/><Relationship Id="rId19" Type="http://schemas.openxmlformats.org/officeDocument/2006/relationships/image" Target="media/image6.png"/><Relationship Id="rId20" Type="http://schemas.openxmlformats.org/officeDocument/2006/relationships/image" Target="media/image7.png"/><Relationship Id="rId21" Type="http://schemas.openxmlformats.org/officeDocument/2006/relationships/image" Target="media/image8.jpeg"/><Relationship Id="rId22" Type="http://schemas.openxmlformats.org/officeDocument/2006/relationships/image" Target="media/image9.png"/><Relationship Id="rId23" Type="http://schemas.openxmlformats.org/officeDocument/2006/relationships/image" Target="media/image10.png"/><Relationship Id="rId24" Type="http://schemas.openxmlformats.org/officeDocument/2006/relationships/image" Target="media/image11.png"/><Relationship Id="rId25" Type="http://schemas.openxmlformats.org/officeDocument/2006/relationships/image" Target="media/image12.png"/><Relationship Id="rId26" Type="http://schemas.openxmlformats.org/officeDocument/2006/relationships/image" Target="media/image13.png"/><Relationship Id="rId27" Type="http://schemas.openxmlformats.org/officeDocument/2006/relationships/image" Target="media/image14.png"/><Relationship Id="rId28" Type="http://schemas.openxmlformats.org/officeDocument/2006/relationships/image" Target="media/image15.png"/><Relationship Id="rId29" Type="http://schemas.openxmlformats.org/officeDocument/2006/relationships/image" Target="media/image16.png"/><Relationship Id="rId30" Type="http://schemas.openxmlformats.org/officeDocument/2006/relationships/image" Target="media/image17.png"/><Relationship Id="rId31" Type="http://schemas.openxmlformats.org/officeDocument/2006/relationships/image" Target="media/image18.png"/><Relationship Id="rId33" Type="http://schemas.openxmlformats.org/officeDocument/2006/relationships/image" Target="media/image19.png"/><Relationship Id="rId16" Type="http://schemas.openxmlformats.org/officeDocument/2006/relationships/hyperlink" Target="https://global.vanguard.com" TargetMode="External"/><Relationship Id="rId17" Type="http://schemas.openxmlformats.org/officeDocument/2006/relationships/hyperlink" Target="https://global.vanguard.com/portal/site/portal/ucits-documentation" TargetMode="External"/><Relationship Id="rId32" Type="http://schemas.openxmlformats.org/officeDocument/2006/relationships/hyperlink" Target="https://global.vanguard.com/" TargetMode="External"/><Relationship Id="rId34" Type="http://schemas.openxmlformats.org/officeDocument/2006/relationships/hyperlink" Target="https://www.ie.vanguard/content/dam/intl/europe/documents/ch/en/ucits-v-remuneration-policy.pdf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2024-05-21T10:05:24Z</dcterms:created>
  <dcterms:modified xsi:type="dcterms:W3CDTF">2024-05-21T10:05:24Z</dcterms:modified>
</cp:coreProperties>
</file>