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ind w:left="3720"/>
        <w:spacing w:after="0"/>
        <w:rPr>
          <w:sz w:val="20"/>
          <w:szCs w:val="20"/>
          <w:color w:val="auto"/>
        </w:rPr>
      </w:pPr>
      <w:r>
        <w:rPr xmlns:w="http://schemas.openxmlformats.org/wordprocessingml/2006/main">
          <w:rFonts w:ascii="Arial" w:cs="Arial" w:eastAsia="Arial" w:hAnsi="Arial"/>
          <w:sz w:val="20"/>
          <w:szCs w:val="20"/>
          <w:color w:val="auto"/>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396240</wp:posOffset>
            </wp:positionH>
            <wp:positionV relativeFrom="page">
              <wp:posOffset>360045</wp:posOffset>
            </wp:positionV>
            <wp:extent cx="1419225" cy="4762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clrChange>
                        <a:clrFrom>
                          <a:srgbClr val="FFFFFF"/>
                        </a:clrFrom>
                        <a:clrTo>
                          <a:srgbClr val="FFFFFF">
                            <a:alpha val="0"/>
                          </a:srgbClr>
                        </a:clrTo>
                      </a:clrChange>
                      <a:extLst>
                        <a:ext uri="{28A0092B-C50C-407E-A947-70E740481C1C}"/>
                      </a:extLst>
                    </a:blip>
                    <a:srcRect/>
                    <a:stretch>
                      <a:fillRect/>
                    </a:stretch>
                  </pic:blipFill>
                  <pic:spPr bwMode="auto">
                    <a:xfrm>
                      <a:off x="0" y="0"/>
                      <a:ext cx="1419225" cy="476250"/>
                    </a:xfrm>
                    <a:prstGeom prst="rect">
                      <a:avLst/>
                    </a:prstGeom>
                    <a:noFill/>
                  </pic:spPr>
                </pic:pic>
              </a:graphicData>
            </a:graphic>
          </wp:anchor>
        </w:drawing>
      </w:r>
      <w:r>
        <w:rPr xmlns:w="http://schemas.openxmlformats.org/wordprocessingml/2006/main">
          <w:rFonts w:ascii="Arial" w:cs="Arial" w:eastAsia="Arial" w:hAnsi="Arial"/>
          <w:sz w:val="20"/>
          <w:szCs w:val="20"/>
          <w:color w:val="auto"/>
        </w:rPr>
        <w:t xml:space="preserve">KLUCZOWE INFORMACJE DLA INWESTORÓW</w:t>
      </w:r>
    </w:p>
    <w:p>
      <w:pPr>
        <w:spacing w:after="0" w:line="67" w:lineRule="exact"/>
        <w:rPr>
          <w:sz w:val="24"/>
          <w:szCs w:val="24"/>
          <w:color w:val="auto"/>
        </w:rPr>
      </w:pPr>
    </w:p>
    <w:p>
      <w:pPr xmlns:w="http://schemas.openxmlformats.org/wordprocessingml/2006/main">
        <w:ind w:left="3720" w:right="100"/>
        <w:spacing w:after="0" w:line="315" w:lineRule="auto"/>
        <w:rPr>
          <w:sz w:val="20"/>
          <w:szCs w:val="20"/>
          <w:color w:val="auto"/>
        </w:rPr>
      </w:pPr>
      <w:r>
        <w:rPr xmlns:w="http://schemas.openxmlformats.org/wordprocessingml/2006/main">
          <w:rFonts w:ascii="Arial" w:cs="Arial" w:eastAsia="Arial" w:hAnsi="Arial"/>
          <w:sz w:val="15"/>
          <w:szCs w:val="15"/>
          <w:color w:val="auto"/>
        </w:rPr>
        <w:t xml:space="preserve">Niniejszy dokument zawiera kluczowe informacje dla inwestorów na temat tego Funduszu.</w:t>
      </w:r>
      <w:r>
        <w:rPr xmlns:w="http://schemas.openxmlformats.org/wordprocessingml/2006/main">
          <w:rFonts w:ascii="Arial" w:cs="Arial" w:eastAsia="Arial" w:hAnsi="Arial"/>
          <w:sz w:val="15"/>
          <w:szCs w:val="15"/>
          <w:color w:val="auto"/>
        </w:rPr>
        <w:t xml:space="preserve"> Nie jest to materiał marketingowy.</w:t>
      </w:r>
      <w:r>
        <w:rPr xmlns:w="http://schemas.openxmlformats.org/wordprocessingml/2006/main">
          <w:rFonts w:ascii="Arial" w:cs="Arial" w:eastAsia="Arial" w:hAnsi="Arial"/>
          <w:sz w:val="15"/>
          <w:szCs w:val="15"/>
          <w:color w:val="auto"/>
        </w:rPr>
        <w:t xml:space="preserve"> Informacje te są wymagane przez prawo, aby pomóc Ci zrozumieć charakter i ryzyko inwestowania w ten Fundusz.</w:t>
      </w:r>
      <w:r>
        <w:rPr xmlns:w="http://schemas.openxmlformats.org/wordprocessingml/2006/main">
          <w:rFonts w:ascii="Arial" w:cs="Arial" w:eastAsia="Arial" w:hAnsi="Arial"/>
          <w:sz w:val="15"/>
          <w:szCs w:val="15"/>
          <w:color w:val="auto"/>
        </w:rPr>
        <w:t xml:space="preserve"> Zachęcamy do zapoznania się z nią, aby móc podjąć świadomą decyzję o ewentualnej inwestycji.</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-24765</wp:posOffset>
            </wp:positionV>
            <wp:extent cx="6767830" cy="639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extLst>
                    </a:blip>
                    <a:srcRect/>
                    <a:stretch>
                      <a:fillRect/>
                    </a:stretch>
                  </pic:blipFill>
                  <pic:spPr bwMode="auto">
                    <a:xfrm>
                      <a:off x="0" y="0"/>
                      <a:ext cx="6767830" cy="639445"/>
                    </a:xfrm>
                    <a:prstGeom prst="rect">
                      <a:avLst/>
                    </a:prstGeom>
                    <a:noFill/>
                  </pic:spPr>
                </pic:pic>
              </a:graphicData>
            </a:graphic>
          </wp:anchor>
        </w:drawing>
      </w:r>
    </w:p>
    <w:p>
      <w:pPr>
        <w:spacing w:after="0" w:line="42" w:lineRule="exact"/>
        <w:rPr>
          <w:sz w:val="24"/>
          <w:szCs w:val="24"/>
          <w:color w:val="auto"/>
        </w:rPr>
      </w:pPr>
    </w:p>
    <w:tbl>
      <w:tblPr>
        <w:tblLayout w:type="fixed"/>
        <w:tblInd w:w="60" w:type="dxa"/>
        <w:tblCellMar>
          <w:top w:w="0" w:type="dxa"/>
          <w:left w:w="0" w:type="dxa"/>
          <w:bottom w:w="0" w:type="dxa"/>
          <w:right w:w="0" w:type="dxa"/>
        </w:tblCellMar>
      </w:tblPr>
      <w:tr>
        <w:trPr>
          <w:trHeight w:val="345"/>
        </w:trPr>
        <w:tc>
          <w:tcPr>
            <w:tcW w:w="456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28"/>
                <w:szCs w:val="28"/>
                <w:color w:val="FFFFFF"/>
              </w:rPr>
              <w:t xml:space="preserve">iShares Digitalization UCITS ETF</w:t>
            </w:r>
          </w:p>
        </w:tc>
        <w:tc>
          <w:tcPr>
            <w:tcW w:w="2840" w:type="dxa"/>
            <w:vAlign w:val="bottom"/>
          </w:tcPr>
          <w:p>
            <w:pPr xmlns:w="http://schemas.openxmlformats.org/wordprocessingml/2006/main">
              <w:ind w:left="780"/>
              <w:spacing w:after="0"/>
              <w:rPr>
                <w:sz w:val="20"/>
                <w:szCs w:val="20"/>
                <w:color w:val="auto"/>
              </w:rPr>
            </w:pPr>
            <w:r>
              <w:rPr xmlns:w="http://schemas.openxmlformats.org/wordprocessingml/2006/main">
                <w:rFonts w:ascii="Arial" w:cs="Arial" w:eastAsia="Arial" w:hAnsi="Arial"/>
                <w:sz w:val="22"/>
                <w:szCs w:val="22"/>
                <w:color w:val="auto"/>
                <w:w w:val="88"/>
              </w:rPr>
              <w:t xml:space="preserve">Klasa akcji USD (Acc)</w:t>
            </w:r>
          </w:p>
        </w:tc>
        <w:tc>
          <w:tcPr>
            <w:tcW w:w="2140" w:type="dxa"/>
            <w:vAlign w:val="bottom"/>
            <w:vMerge w:val="restart"/>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8"/>
                <w:szCs w:val="18"/>
                <w:color w:val="auto"/>
                <w:w w:val="86"/>
              </w:rPr>
              <w:t xml:space="preserve">Fundusz typu ETF (ang. Exchange Traded Fund)</w:t>
            </w:r>
          </w:p>
        </w:tc>
        <w:tc>
          <w:tcPr>
            <w:tcW w:w="0" w:type="dxa"/>
            <w:vAlign w:val="bottom"/>
          </w:tcPr>
          <w:p>
            <w:pPr>
              <w:spacing w:after="0"/>
              <w:rPr>
                <w:sz w:val="1"/>
                <w:szCs w:val="1"/>
                <w:color w:val="auto"/>
              </w:rPr>
            </w:pPr>
          </w:p>
        </w:tc>
      </w:tr>
      <w:tr>
        <w:trPr>
          <w:trHeight w:val="242"/>
        </w:trPr>
        <w:tc>
          <w:tcPr>
            <w:tcW w:w="4560" w:type="dxa"/>
            <w:vAlign w:val="bottom"/>
            <w:vMerge w:val="restart"/>
          </w:tcPr>
          <w:p>
            <w:pPr xmlns:w="http://schemas.openxmlformats.org/wordprocessingml/2006/main">
              <w:spacing w:after="0"/>
              <w:rPr>
                <w:sz w:val="20"/>
                <w:szCs w:val="20"/>
                <w:color w:val="auto"/>
              </w:rPr>
            </w:pPr>
            <w:r>
              <w:rPr xmlns:w="http://schemas.openxmlformats.org/wordprocessingml/2006/main">
                <w:rFonts w:ascii="Arial" w:cs="Arial" w:eastAsia="Arial" w:hAnsi="Arial"/>
                <w:sz w:val="20"/>
                <w:szCs w:val="20"/>
                <w:color w:val="FFFFFF"/>
              </w:rPr>
              <w:t xml:space="preserve">Subfundusz iShares IV plc</w:t>
            </w:r>
          </w:p>
        </w:tc>
        <w:tc>
          <w:tcPr>
            <w:tcW w:w="2840" w:type="dxa"/>
            <w:vAlign w:val="bottom"/>
          </w:tcPr>
          <w:p>
            <w:pPr xmlns:w="http://schemas.openxmlformats.org/wordprocessingml/2006/main">
              <w:ind w:left="780"/>
              <w:spacing w:after="0"/>
              <w:rPr>
                <w:sz w:val="20"/>
                <w:szCs w:val="20"/>
                <w:color w:val="auto"/>
              </w:rPr>
            </w:pPr>
            <w:r>
              <w:rPr xmlns:w="http://schemas.openxmlformats.org/wordprocessingml/2006/main">
                <w:rFonts w:ascii="Arial" w:cs="Arial" w:eastAsia="Arial" w:hAnsi="Arial"/>
                <w:sz w:val="18"/>
                <w:szCs w:val="18"/>
                <w:color w:val="auto"/>
              </w:rPr>
              <w:t xml:space="preserve">ISIN: IE00BYZK4883</w:t>
            </w:r>
          </w:p>
        </w:tc>
        <w:tc>
          <w:tcPr>
            <w:tcW w:w="2140" w:type="dxa"/>
            <w:vAlign w:val="bottom"/>
            <w:vMerge w:val="continue"/>
          </w:tcPr>
          <w:p>
            <w:pPr>
              <w:spacing w:after="0"/>
              <w:rPr>
                <w:sz w:val="21"/>
                <w:szCs w:val="21"/>
                <w:color w:val="auto"/>
              </w:rPr>
            </w:pPr>
          </w:p>
        </w:tc>
        <w:tc>
          <w:tcPr>
            <w:tcW w:w="0" w:type="dxa"/>
            <w:vAlign w:val="bottom"/>
          </w:tcPr>
          <w:p>
            <w:pPr>
              <w:spacing w:after="0"/>
              <w:rPr>
                <w:sz w:val="1"/>
                <w:szCs w:val="1"/>
                <w:color w:val="auto"/>
              </w:rPr>
            </w:pPr>
          </w:p>
        </w:tc>
      </w:tr>
      <w:tr>
        <w:trPr>
          <w:trHeight w:val="104"/>
        </w:trPr>
        <w:tc>
          <w:tcPr>
            <w:tcW w:w="4560" w:type="dxa"/>
            <w:vAlign w:val="bottom"/>
            <w:vMerge w:val="continue"/>
          </w:tcPr>
          <w:p>
            <w:pPr>
              <w:spacing w:after="0"/>
              <w:rPr>
                <w:sz w:val="9"/>
                <w:szCs w:val="9"/>
                <w:color w:val="auto"/>
              </w:rPr>
            </w:pPr>
          </w:p>
        </w:tc>
        <w:tc>
          <w:tcPr>
            <w:tcW w:w="2840" w:type="dxa"/>
            <w:vAlign w:val="bottom"/>
          </w:tcPr>
          <w:p>
            <w:pPr>
              <w:spacing w:after="0"/>
              <w:rPr>
                <w:sz w:val="9"/>
                <w:szCs w:val="9"/>
                <w:color w:val="auto"/>
              </w:rPr>
            </w:pPr>
          </w:p>
        </w:tc>
        <w:tc>
          <w:tcPr>
            <w:tcW w:w="2140" w:type="dxa"/>
            <w:vAlign w:val="bottom"/>
          </w:tcPr>
          <w:p>
            <w:pPr>
              <w:spacing w:after="0"/>
              <w:rPr>
                <w:sz w:val="9"/>
                <w:szCs w:val="9"/>
                <w:color w:val="auto"/>
              </w:rPr>
            </w:pPr>
          </w:p>
        </w:tc>
        <w:tc>
          <w:tcPr>
            <w:tcW w:w="0" w:type="dxa"/>
            <w:vAlign w:val="bottom"/>
          </w:tcPr>
          <w:p>
            <w:pPr>
              <w:spacing w:after="0"/>
              <w:rPr>
                <w:sz w:val="1"/>
                <w:szCs w:val="1"/>
                <w:color w:val="auto"/>
              </w:rPr>
            </w:pPr>
          </w:p>
        </w:tc>
      </w:tr>
    </w:tbl>
    <w:p>
      <w:pPr xmlns:w="http://schemas.openxmlformats.org/wordprocessingml/2006/main">
        <w:ind w:left="5400"/>
        <w:spacing w:after="0" w:line="215" w:lineRule="auto"/>
        <w:rPr>
          <w:sz w:val="20"/>
          <w:szCs w:val="20"/>
          <w:color w:val="auto"/>
        </w:rPr>
      </w:pPr>
      <w:r>
        <w:rPr xmlns:w="http://schemas.openxmlformats.org/wordprocessingml/2006/main">
          <w:rFonts w:ascii="Arial" w:cs="Arial" w:eastAsia="Arial" w:hAnsi="Arial"/>
          <w:sz w:val="18"/>
          <w:szCs w:val="18"/>
          <w:color w:val="auto"/>
        </w:rPr>
        <w:t xml:space="preserve">Menedżer: BlackRock Asset Management Ireland Limited</w:t>
      </w:r>
    </w:p>
    <w:p>
      <w:pPr>
        <w:spacing w:after="0" w:line="7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6"/>
          <w:szCs w:val="26"/>
          <w:color w:val="auto"/>
        </w:rPr>
        <w:t xml:space="preserve">Cele i polityka inwestycyjna</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22860</wp:posOffset>
            </wp:positionV>
            <wp:extent cx="6767830" cy="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74" w:lineRule="exact"/>
        <w:rPr>
          <w:sz w:val="24"/>
          <w:szCs w:val="24"/>
          <w:color w:val="auto"/>
        </w:rPr>
      </w:pPr>
    </w:p>
    <w:p>
      <w:pPr xmlns:w="http://schemas.openxmlformats.org/wordprocessingml/2006/main">
        <w:ind w:left="140" w:right="38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Klasa akcji to klasa akcji Funduszu, której celem jest uzyskanie zwrotu z inwestycji poprzez połączenie wzrostu kapitału i dochodu z aktywów Funduszu, co odzwierciedla zwrot ze światowego indeksu cyfryzacji STOXX, wskaźnika referencyjnego Funduszu (Index).</w:t>
      </w:r>
    </w:p>
    <w:p>
      <w:pPr>
        <w:spacing w:after="0" w:line="28" w:lineRule="exact"/>
        <w:rPr>
          <w:sz w:val="24"/>
          <w:szCs w:val="24"/>
          <w:color w:val="auto"/>
        </w:rPr>
      </w:pPr>
    </w:p>
    <w:p>
      <w:pPr xmlns:w="http://schemas.openxmlformats.org/wordprocessingml/2006/main">
        <w:ind w:left="20" w:right="40"/>
        <w:spacing w:after="0" w:line="345" w:lineRule="auto"/>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4"/>
          <w:szCs w:val="14"/>
          <w:color w:val="auto"/>
        </w:rPr>
        <w:t xml:space="preserve"> Klasa Akcji, za pośrednictwem Funduszu, jest zarządzana pasywnie i ma na celu inwestowanie w udziałowe papiery wartościowe (np. akcje), które w miarę możliwości i możliwości tworzą Indeks.</w:t>
      </w:r>
      <w:r>
        <w:rPr xmlns:w="http://schemas.openxmlformats.org/wordprocessingml/2006/main">
          <w:rFonts w:ascii="Arial" w:cs="Arial" w:eastAsia="Arial" w:hAnsi="Arial"/>
          <w:sz w:val="14"/>
          <w:szCs w:val="14"/>
          <w:color w:val="auto"/>
        </w:rPr>
        <w:t xml:space="preserve"> </w:t>
      </w:r>
      <w:r xmlns:w="http://schemas.openxmlformats.org/wordprocessingml/2006/main">
        <w:rPr>
          <w:sz w:val="1"/>
          <w:szCs w:val="1"/>
          <w:color w:val="auto"/>
        </w:rPr>
        <w:drawing>
          <wp:inline xmlns:wp="http://schemas.openxmlformats.org/drawingml/2006/wordprocessingDrawing" distT="0" distB="0" distL="0" distR="0">
            <wp:extent cx="45720" cy="7747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4"/>
          <w:szCs w:val="14"/>
          <w:color w:val="auto"/>
        </w:rPr>
        <w:t xml:space="preserve"> Indeks odzwierciedla wyniki podzbioru globalnych udziałowych papierów wartościowych w ramach indeksu STOXX Global Market Index ("Indeks Dominujący"), które uzyskują znaczące przychody z branży digitalizacji, takich jak cyberbezpieczeństwo, chmura obliczeniowa i technologia finansowa.</w:t>
      </w:r>
      <w:r>
        <w:rPr xmlns:w="http://schemas.openxmlformats.org/wordprocessingml/2006/main">
          <w:rFonts w:ascii="Arial" w:cs="Arial" w:eastAsia="Arial" w:hAnsi="Arial"/>
          <w:sz w:val="14"/>
          <w:szCs w:val="14"/>
          <w:color w:val="auto"/>
        </w:rPr>
        <w:t xml:space="preserve"> Spółki objęte Indeksem muszą wygenerować co najmniej 50</w:t>
      </w:r>
    </w:p>
    <w:p>
      <w:pPr>
        <w:spacing w:after="0" w:line="2" w:lineRule="exact"/>
        <w:rPr>
          <w:sz w:val="24"/>
          <w:szCs w:val="24"/>
          <w:color w:val="auto"/>
        </w:rPr>
      </w:pPr>
    </w:p>
    <w:p>
      <w:pPr xmlns:w="http://schemas.openxmlformats.org/wordprocessingml/2006/main">
        <w:ind w:left="140" w:right="80" w:firstLine="8"/>
        <w:spacing w:after="0" w:line="404" w:lineRule="auto"/>
        <w:tabs>
          <w:tab w:leader="none" w:pos="264" w:val="left"/>
        </w:tabs>
        <w:numPr>
          <w:ilvl w:val="0"/>
          <w:numId w:val="1"/>
        </w:numPr>
        <w:rPr>
          <w:rFonts w:ascii="Arial" w:cs="Arial" w:eastAsia="Arial" w:hAnsi="Arial"/>
          <w:sz w:val="13"/>
          <w:szCs w:val="13"/>
          <w:color w:val="auto"/>
        </w:rPr>
      </w:pPr>
      <w:r>
        <w:rPr xmlns:w="http://schemas.openxmlformats.org/wordprocessingml/2006/main">
          <w:rFonts w:ascii="Arial" w:cs="Arial" w:eastAsia="Arial" w:hAnsi="Arial"/>
          <w:sz w:val="13"/>
          <w:szCs w:val="13"/>
          <w:color w:val="auto"/>
        </w:rPr>
        <w:t xml:space="preserve">(45% dla spółek obecnych w Indeksie) ich rocznych przychodów z sektorów związanych z tematyką cyfryzacji.</w:t>
      </w:r>
      <w:r>
        <w:rPr xmlns:w="http://schemas.openxmlformats.org/wordprocessingml/2006/main">
          <w:rFonts w:ascii="Arial" w:cs="Arial" w:eastAsia="Arial" w:hAnsi="Arial"/>
          <w:sz w:val="13"/>
          <w:szCs w:val="13"/>
          <w:color w:val="auto"/>
        </w:rPr>
        <w:t xml:space="preserve"> Ponadto Indeks ma na celu zapewnienie minimalnej liczby 80 składników przy każdym ponownym bilansowaniu Indeksu, jednak jeżeli w wyniku zastosowania filtru przychodów w Indeksie będzie mniej niż 80 składników, to jest on stopniowo obniżany zgodnie z metodologią podmiotu opracowującego indeks, aż liczba składników będzie równa lub większa niż 80.</w:t>
      </w:r>
      <w:r>
        <w:rPr xmlns:w="http://schemas.openxmlformats.org/wordprocessingml/2006/main">
          <w:rFonts w:ascii="Arial" w:cs="Arial" w:eastAsia="Arial" w:hAnsi="Arial"/>
          <w:sz w:val="13"/>
          <w:szCs w:val="13"/>
          <w:color w:val="auto"/>
        </w:rPr>
        <w:t xml:space="preserve"> Spółki należące do Indeksu muszą również spełniać kryteria podmiotu tworzącego indeks w zakresie kapitalizacji rynkowej i wolumenu obrotów oraz posiadać siedzibę w kraju kwalifikującym się, który również jest określany przez podmiot tworzący indeks.</w:t>
      </w:r>
    </w:p>
    <w:p>
      <w:pPr>
        <w:spacing w:after="0" w:line="153" w:lineRule="exact"/>
        <w:rPr>
          <w:sz w:val="24"/>
          <w:szCs w:val="24"/>
          <w:color w:val="auto"/>
        </w:rPr>
      </w:pPr>
    </w:p>
    <w:p>
      <w:pPr xmlns:w="http://schemas.openxmlformats.org/wordprocessingml/2006/main">
        <w:ind w:left="140" w:right="6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Z Indeksu zostały wyłączone spółki, które zostały zidentyfikowane przez podmiot tworzący indeks jako zaangażowane w określone linie biznesowe/działania, zgodnie z opisem Indeksu Funduszu w Prospekcie Emisyjnym Funduszu.</w:t>
      </w:r>
    </w:p>
    <w:p>
      <w:pPr>
        <w:spacing w:after="0" w:line="28" w:lineRule="exact"/>
        <w:rPr>
          <w:sz w:val="24"/>
          <w:szCs w:val="24"/>
          <w:color w:val="auto"/>
        </w:rPr>
      </w:pPr>
    </w:p>
    <w:p>
      <w:pPr xmlns:w="http://schemas.openxmlformats.org/wordprocessingml/2006/main">
        <w:ind w:left="140" w:right="6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Inwestycja Funduszu w papiery wartościowe wchodzące w skład Indeksu w momencie zakupu będzie zgodna z wymogami kredytowymi lub ESG Indeksu.</w:t>
      </w:r>
      <w:r>
        <w:rPr xmlns:w="http://schemas.openxmlformats.org/wordprocessingml/2006/main">
          <w:rFonts w:ascii="Arial" w:cs="Arial" w:eastAsia="Arial" w:hAnsi="Arial"/>
          <w:sz w:val="16"/>
          <w:szCs w:val="16"/>
          <w:color w:val="auto"/>
        </w:rPr>
        <w:t xml:space="preserve"> W przypadku gdy papiery wartościowe przestały spełniać takie wymogi, Fundusz może je utrzymywać do momentu, gdy przestaną one stanowić część Indeksu, oraz do momentu, gdy jest to wykonalne ze względów praktycznych, aby je sprzedać.</w:t>
      </w:r>
    </w:p>
    <w:p>
      <w:pPr>
        <w:spacing w:after="0" w:line="28" w:lineRule="exact"/>
        <w:rPr>
          <w:sz w:val="24"/>
          <w:szCs w:val="24"/>
          <w:color w:val="auto"/>
        </w:rPr>
      </w:pPr>
    </w:p>
    <w:p>
      <w:pPr xmlns:w="http://schemas.openxmlformats.org/wordprocessingml/2006/main">
        <w:ind w:left="140" w:right="2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Fundusz będzie uwzględniał te kryteria ESG wyłącznie przy wyborze papierów wartościowych, które będą bezpośrednio w posiadaniu Funduszu.</w:t>
      </w:r>
      <w:r>
        <w:rPr xmlns:w="http://schemas.openxmlformats.org/wordprocessingml/2006/main">
          <w:rFonts w:ascii="Arial" w:cs="Arial" w:eastAsia="Arial" w:hAnsi="Arial"/>
          <w:sz w:val="16"/>
          <w:szCs w:val="16"/>
          <w:color w:val="auto"/>
        </w:rPr>
        <w:t xml:space="preserve"> Fundusz może uzyskać pośrednie zaangażowanie (np. poprzez finansowe instrumenty pochodne ("BIZ") (tj. inwestycje, których ceny oparte są na jednym lub kilku aktywach bazowych) oraz jednostki uczestnictwa w programach zbiorowego inwestowania) w papiery wartościowe uznane za niespełniające tych kryteriów ESG.</w:t>
      </w:r>
      <w:r>
        <w:rPr xmlns:w="http://schemas.openxmlformats.org/wordprocessingml/2006/main">
          <w:rFonts w:ascii="Arial" w:cs="Arial" w:eastAsia="Arial" w:hAnsi="Arial"/>
          <w:sz w:val="16"/>
          <w:szCs w:val="16"/>
          <w:color w:val="auto"/>
        </w:rPr>
        <w:t xml:space="preserve"> Indeks może zawierać małe, średnie i/lub duże kapitalizacyjne składniki Indeksu Dominującego zarówno z krajów rozwiniętych, jak i z rynków wschodzących na całym świecie.</w:t>
      </w:r>
      <w:r>
        <w:rPr xmlns:w="http://schemas.openxmlformats.org/wordprocessingml/2006/main">
          <w:rFonts w:ascii="Arial" w:cs="Arial" w:eastAsia="Arial" w:hAnsi="Arial"/>
          <w:sz w:val="16"/>
          <w:szCs w:val="16"/>
          <w:color w:val="auto"/>
        </w:rPr>
        <w:t xml:space="preserve"> Każdy ze składników Indeksu jest korygowany w równym stopniu przy każdej zmianie wagi Indeksu.</w:t>
      </w:r>
    </w:p>
    <w:p>
      <w:pPr>
        <w:spacing w:after="0" w:line="28" w:lineRule="exact"/>
        <w:rPr>
          <w:sz w:val="24"/>
          <w:szCs w:val="24"/>
          <w:color w:val="auto"/>
        </w:rPr>
      </w:pPr>
    </w:p>
    <w:p>
      <w:pPr xmlns:w="http://schemas.openxmlformats.org/wordprocessingml/2006/main">
        <w:ind w:left="140" w:right="4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Fundusz stosuje techniki optymalizacyjne, aby osiągnąć podobny zwrot ze swojego Indeksu.</w:t>
      </w:r>
      <w:r>
        <w:rPr xmlns:w="http://schemas.openxmlformats.org/wordprocessingml/2006/main">
          <w:rFonts w:ascii="Arial" w:cs="Arial" w:eastAsia="Arial" w:hAnsi="Arial"/>
          <w:sz w:val="16"/>
          <w:szCs w:val="16"/>
          <w:color w:val="auto"/>
        </w:rPr>
        <w:t xml:space="preserve"> Techniki te mogą obejmować strategiczny wybór niektórych papierów wartościowych wchodzących w skład Indeksu lub innych papierów wartościowych o podobnej charakterystyce jak niektóre składowe papiery wartościowe.</w:t>
      </w:r>
      <w:r>
        <w:rPr xmlns:w="http://schemas.openxmlformats.org/wordprocessingml/2006/main">
          <w:rFonts w:ascii="Arial" w:cs="Arial" w:eastAsia="Arial" w:hAnsi="Arial"/>
          <w:sz w:val="16"/>
          <w:szCs w:val="16"/>
          <w:color w:val="auto"/>
        </w:rPr>
        <w:t xml:space="preserve"> Mogą one również obejmować wykorzystanie BIZ, które mogą być wykorzystywane do celów inwestycji bezpośrednich.</w:t>
      </w:r>
    </w:p>
    <w:p>
      <w:pPr>
        <w:spacing w:after="0" w:line="2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5"/>
          <w:szCs w:val="15"/>
          <w:color w:val="auto"/>
        </w:rPr>
        <w:t xml:space="preserve"> Zalecenie: Fundusz ten jest odpowiedni dla inwestycji średnio- i długoterminowych, chociaż może być również odpowiedni dla krótkoterminowego zaangażowania w indeks.</w:t>
      </w:r>
    </w:p>
    <w:p>
      <w:pPr>
        <w:spacing w:after="0" w:line="59"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Twoje akcje będą akumulowanymi udziałami (tzn. dochód zostanie uwzględniony w ich wartości).</w:t>
      </w:r>
    </w:p>
    <w:p>
      <w:pPr>
        <w:spacing w:after="0" w:line="4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Twoje akcje będą denominowane w dolarach amerykańskich, walucie bazowej Funduszu.</w:t>
      </w:r>
    </w:p>
    <w:p>
      <w:pPr>
        <w:spacing w:after="0" w:line="48" w:lineRule="exact"/>
        <w:rPr>
          <w:sz w:val="24"/>
          <w:szCs w:val="24"/>
          <w:color w:val="auto"/>
        </w:rPr>
      </w:pPr>
    </w:p>
    <w:p>
      <w:pPr xmlns:w="http://schemas.openxmlformats.org/wordprocessingml/2006/main">
        <w:ind w:left="140" w:right="6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Akcje są notowane na jednej lub kilku giełdach i mogą być przedmiotem obrotu w walutach innych niż ich waluta bazowa.</w:t>
      </w:r>
      <w:r>
        <w:rPr xmlns:w="http://schemas.openxmlformats.org/wordprocessingml/2006/main">
          <w:rFonts w:ascii="Arial" w:cs="Arial" w:eastAsia="Arial" w:hAnsi="Arial"/>
          <w:sz w:val="16"/>
          <w:szCs w:val="16"/>
          <w:color w:val="auto"/>
        </w:rPr>
        <w:t xml:space="preserve"> Różnica kursów walut może mieć wpływ na wydajność Twoich akcji.</w:t>
      </w:r>
      <w:r>
        <w:rPr xmlns:w="http://schemas.openxmlformats.org/wordprocessingml/2006/main">
          <w:rFonts w:ascii="Arial" w:cs="Arial" w:eastAsia="Arial" w:hAnsi="Arial"/>
          <w:sz w:val="16"/>
          <w:szCs w:val="16"/>
          <w:color w:val="auto"/>
        </w:rPr>
        <w:t xml:space="preserve"> W normalnych okolicznościach wyłącznie uprawnieni uczestnicy (np. wybrane instytucje finansowe) mogą dokonywać transakcji na akcjach (lub udziałach w akcjach) bezpośrednio z Funduszem.</w:t>
      </w:r>
      <w:r>
        <w:rPr xmlns:w="http://schemas.openxmlformats.org/wordprocessingml/2006/main">
          <w:rFonts w:ascii="Arial" w:cs="Arial" w:eastAsia="Arial" w:hAnsi="Arial"/>
          <w:sz w:val="16"/>
          <w:szCs w:val="16"/>
          <w:color w:val="auto"/>
        </w:rPr>
        <w:t xml:space="preserve"> Inni inwestorzy mogą dokonywać codziennych transakcji na akcjach (lub udziałach w akcjach) poprzez pośrednika na giełdzie (giełdach), na której akcje są przedmiotem obrotu.</w:t>
      </w:r>
      <w:r>
        <w:rPr xmlns:w="http://schemas.openxmlformats.org/wordprocessingml/2006/main">
          <w:rFonts w:ascii="Arial" w:cs="Arial" w:eastAsia="Arial" w:hAnsi="Arial"/>
          <w:sz w:val="16"/>
          <w:szCs w:val="16"/>
          <w:color w:val="auto"/>
        </w:rPr>
        <w:t xml:space="preserve"> Orientacyjna wartość aktywów netto publikowana jest na odpowiednich stronach internetowych giełd.</w:t>
      </w:r>
    </w:p>
    <w:p>
      <w:pPr>
        <w:spacing w:after="0" w:line="2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5"/>
          <w:szCs w:val="15"/>
          <w:color w:val="auto"/>
        </w:rPr>
        <w:t xml:space="preserve">Więcej informacji na temat Funduszu, klasy akcji, ryzyka i opłat można znaleźć w prospekcie emisyjnym Funduszu dostępnym na stronach dotyczących produktów pod adresem www.blackrock.com</w:t>
      </w:r>
    </w:p>
    <w:p>
      <w:pPr>
        <w:spacing w:after="0" w:line="87"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6"/>
          <w:szCs w:val="26"/>
          <w:color w:val="auto"/>
        </w:rPr>
        <w:t xml:space="preserve">Profil ryzyka i zysku</w:t>
      </w:r>
    </w:p>
    <w:p>
      <w:pPr>
        <w:sectPr>
          <w:pgSz w:w="11900" w:h="16838" w:orient="portrait"/>
          <w:cols w:equalWidth="0" w:num="1">
            <w:col w:w="10580"/>
          </w:cols>
          <w:pgMar w:left="640" w:top="573" w:right="686" w:bottom="0" w:gutter="0" w:footer="0" w:header="0"/>
        </w:sectPr>
      </w:pPr>
    </w:p>
    <w:p>
      <w:pPr>
        <w:spacing w:after="0" w:line="111" w:lineRule="exact"/>
        <w:rPr>
          <w:sz w:val="24"/>
          <w:szCs w:val="24"/>
          <w:color w:val="auto"/>
        </w:rPr>
      </w:pPr>
    </w:p>
    <w:tbl>
      <w:tblPr>
        <w:tblLayout w:type="fixed"/>
        <w:tblInd w:w="40" w:type="dxa"/>
        <w:tblCellMar>
          <w:top w:w="0" w:type="dxa"/>
          <w:left w:w="0" w:type="dxa"/>
          <w:bottom w:w="0" w:type="dxa"/>
          <w:right w:w="0" w:type="dxa"/>
        </w:tblCellMar>
      </w:tblPr>
      <w:tr>
        <w:trPr>
          <w:trHeight w:val="228"/>
        </w:trPr>
        <w:tc>
          <w:tcPr>
            <w:tcW w:w="2540" w:type="dxa"/>
            <w:vAlign w:val="bottom"/>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FFFFFF"/>
              </w:rPr>
              <w:t xml:space="preserve">Niższe ryzyko</w:t>
            </w:r>
          </w:p>
        </w:tc>
        <w:tc>
          <w:tcPr>
            <w:tcW w:w="2620" w:type="dxa"/>
            <w:vAlign w:val="bottom"/>
            <w:shd w:val="clear" w:color="auto" w:fill="000000"/>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FFFFFF"/>
              </w:rPr>
              <w:t xml:space="preserve">Wyższe ryzyko</w:t>
            </w:r>
          </w:p>
        </w:tc>
      </w:tr>
      <w:tr>
        <w:trPr>
          <w:trHeight w:val="207"/>
        </w:trPr>
        <w:tc>
          <w:tcPr>
            <w:tcW w:w="2540" w:type="dxa"/>
            <w:vAlign w:val="bottom"/>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4"/>
                <w:szCs w:val="14"/>
                <w:color w:val="FFFFFF"/>
              </w:rPr>
              <w:t xml:space="preserve">Zazwyczaj niższe nagrody</w:t>
            </w:r>
          </w:p>
        </w:tc>
        <w:tc>
          <w:tcPr>
            <w:tcW w:w="2620" w:type="dxa"/>
            <w:vAlign w:val="bottom"/>
            <w:shd w:val="clear" w:color="auto" w:fill="000000"/>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FFFFFF"/>
              </w:rPr>
              <w:t xml:space="preserve">Zwykle wyższe nagrody</w:t>
            </w: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25400</wp:posOffset>
            </wp:positionH>
            <wp:positionV relativeFrom="paragraph">
              <wp:posOffset>12700</wp:posOffset>
            </wp:positionV>
            <wp:extent cx="3258185" cy="33464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extLst>
                    </a:blip>
                    <a:srcRect/>
                    <a:stretch>
                      <a:fillRect/>
                    </a:stretch>
                  </pic:blipFill>
                  <pic:spPr bwMode="auto">
                    <a:xfrm>
                      <a:off x="0" y="0"/>
                      <a:ext cx="3258185" cy="334645"/>
                    </a:xfrm>
                    <a:prstGeom prst="rect">
                      <a:avLst/>
                    </a:prstGeom>
                    <a:noFill/>
                  </pic:spPr>
                </pic:pic>
              </a:graphicData>
            </a:graphic>
          </wp:anchor>
        </w:drawing>
        <w:drawing>
          <wp:anchor simplePos="0" relativeHeight="251657728" behindDoc="1" locked="0" layoutInCell="0" allowOverlap="1">
            <wp:simplePos x="0" y="0"/>
            <wp:positionH relativeFrom="column">
              <wp:posOffset>-9525</wp:posOffset>
            </wp:positionH>
            <wp:positionV relativeFrom="paragraph">
              <wp:posOffset>393065</wp:posOffset>
            </wp:positionV>
            <wp:extent cx="3329940" cy="952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a:extLst>
                        <a:ext uri="{28A0092B-C50C-407E-A947-70E740481C1C}"/>
                      </a:extLst>
                    </a:blip>
                    <a:srcRect/>
                    <a:stretch>
                      <a:fillRect/>
                    </a:stretch>
                  </pic:blipFill>
                  <pic:spPr bwMode="auto">
                    <a:xfrm>
                      <a:off x="0" y="0"/>
                      <a:ext cx="3329940" cy="9525"/>
                    </a:xfrm>
                    <a:prstGeom prst="rect">
                      <a:avLst/>
                    </a:prstGeom>
                    <a:noFill/>
                  </pic:spPr>
                </pic:pic>
              </a:graphicData>
            </a:graphic>
          </wp:anchor>
        </w:drawing>
        <w:drawing>
          <wp:anchor simplePos="0" relativeHeight="251657728" behindDoc="1" locked="0" layoutInCell="0" allowOverlap="1">
            <wp:simplePos x="0" y="0"/>
            <wp:positionH relativeFrom="column">
              <wp:posOffset>-9525</wp:posOffset>
            </wp:positionH>
            <wp:positionV relativeFrom="paragraph">
              <wp:posOffset>-323215</wp:posOffset>
            </wp:positionV>
            <wp:extent cx="6767830" cy="952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8">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01" w:lineRule="exact"/>
        <w:rPr>
          <w:sz w:val="24"/>
          <w:szCs w:val="24"/>
          <w:color w:val="auto"/>
        </w:rPr>
      </w:pPr>
    </w:p>
    <w:p>
      <w:pPr xmlns:w="http://schemas.openxmlformats.org/wordprocessingml/2006/main">
        <w:ind w:left="140" w:right="8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Wskaźnik ten opiera się na danych historycznych i może nie być wiarygodnym wskaźnikiem przyszłego profilu ryzyka tej klasy akcji.</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-261620</wp:posOffset>
            </wp:positionV>
            <wp:extent cx="45720" cy="7747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9">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color w:val="auto"/>
        </w:rPr>
        <w:t xml:space="preserve">Podana kategoria ryzyka nie jest gwarantowana i może się zmieniać w czasie.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-83820</wp:posOffset>
            </wp:positionV>
            <wp:extent cx="45720" cy="7747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0">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color w:val="auto"/>
        </w:rPr>
        <w:t xml:space="preserve">Najniższa kategoria nie oznacza braku ryzyka.</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-83820</wp:posOffset>
            </wp:positionV>
            <wp:extent cx="45720" cy="7747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40" w:right="120"/>
        <w:spacing w:after="0" w:line="290" w:lineRule="auto"/>
        <w:rPr>
          <w:sz w:val="20"/>
          <w:szCs w:val="20"/>
          <w:color w:val="auto"/>
        </w:rPr>
      </w:pPr>
      <w:r>
        <w:rPr xmlns:w="http://schemas.openxmlformats.org/wordprocessingml/2006/main">
          <w:rFonts w:ascii="Arial" w:cs="Arial" w:eastAsia="Arial" w:hAnsi="Arial"/>
          <w:sz w:val="16"/>
          <w:szCs w:val="16"/>
          <w:color w:val="auto"/>
        </w:rPr>
        <w:t xml:space="preserve">Klasa akcji posiada ocenę siódmą ze względu na charakter inwestycji, które obejmują ryzyka wymienione poniżej.</w:t>
      </w:r>
      <w:r>
        <w:rPr xmlns:w="http://schemas.openxmlformats.org/wordprocessingml/2006/main">
          <w:rFonts w:ascii="Arial" w:cs="Arial" w:eastAsia="Arial" w:hAnsi="Arial"/>
          <w:sz w:val="16"/>
          <w:szCs w:val="16"/>
          <w:color w:val="auto"/>
        </w:rPr>
        <w:t xml:space="preserve"> Czynniki te mogą mieć wpływ na wartość klasy akcji lub narażać klasę akcji na straty.</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-391160</wp:posOffset>
            </wp:positionV>
            <wp:extent cx="45720" cy="7747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9" w:lineRule="exact"/>
        <w:rPr>
          <w:sz w:val="24"/>
          <w:szCs w:val="24"/>
          <w:color w:val="auto"/>
        </w:rPr>
      </w:pPr>
    </w:p>
    <w:p>
      <w:pPr xmlns:w="http://schemas.openxmlformats.org/wordprocessingml/2006/main">
        <w:ind w:left="300" w:right="240" w:hanging="153"/>
        <w:spacing w:after="0" w:line="182" w:lineRule="auto"/>
        <w:tabs>
          <w:tab w:leader="none" w:pos="300" w:val="left"/>
        </w:tabs>
        <w:numPr>
          <w:ilvl w:val="0"/>
          <w:numId w:val="2"/>
        </w:numPr>
        <w:rPr>
          <w:rFonts w:ascii="Arial" w:cs="Arial" w:eastAsia="Arial" w:hAnsi="Arial"/>
          <w:sz w:val="35"/>
          <w:szCs w:val="35"/>
          <w:color w:val="auto"/>
          <w:vertAlign w:val="subscript"/>
        </w:rPr>
      </w:pPr>
      <w:r>
        <w:rPr xmlns:w="http://schemas.openxmlformats.org/wordprocessingml/2006/main">
          <w:rFonts w:ascii="Arial" w:cs="Arial" w:eastAsia="Arial" w:hAnsi="Arial"/>
          <w:sz w:val="15"/>
          <w:szCs w:val="15"/>
          <w:color w:val="auto"/>
        </w:rPr>
        <w:t xml:space="preserve">Udziały w mniejszych spółkach zazwyczaj obracają mniejszą ilością i doświadczają większych wahań cen niż większe spółki.</w:t>
      </w:r>
    </w:p>
    <w:p>
      <w:pPr>
        <w:spacing w:after="0" w:line="27" w:lineRule="exact"/>
        <w:rPr>
          <w:rFonts w:ascii="Arial" w:cs="Arial" w:eastAsia="Arial" w:hAnsi="Arial"/>
          <w:sz w:val="35"/>
          <w:szCs w:val="35"/>
          <w:color w:val="auto"/>
          <w:vertAlign w:val="subscript"/>
        </w:rPr>
      </w:pPr>
    </w:p>
    <w:p>
      <w:pPr xmlns:w="http://schemas.openxmlformats.org/wordprocessingml/2006/main">
        <w:jc w:val="both"/>
        <w:ind w:left="300" w:right="220" w:hanging="153"/>
        <w:spacing w:after="0" w:line="193" w:lineRule="auto"/>
        <w:tabs>
          <w:tab w:leader="none" w:pos="300" w:val="left"/>
        </w:tabs>
        <w:numPr>
          <w:ilvl w:val="0"/>
          <w:numId w:val="2"/>
        </w:numPr>
        <w:rPr>
          <w:rFonts w:ascii="Arial" w:cs="Arial" w:eastAsia="Arial" w:hAnsi="Arial"/>
          <w:sz w:val="40"/>
          <w:szCs w:val="40"/>
          <w:color w:val="auto"/>
          <w:vertAlign w:val="subscript"/>
        </w:rPr>
      </w:pPr>
      <w:r>
        <w:rPr xmlns:w="http://schemas.openxmlformats.org/wordprocessingml/2006/main">
          <w:rFonts w:ascii="Arial" w:cs="Arial" w:eastAsia="Arial" w:hAnsi="Arial"/>
          <w:sz w:val="16"/>
          <w:szCs w:val="16"/>
          <w:color w:val="auto"/>
        </w:rPr>
        <w:t xml:space="preserve">Inwestycje w technologiczne papiery wartościowe są uzależnione od braku lub utraty ochrony własności intelektualnej, szybkich zmian w technologii, regulacji rządowych i konkurencji.</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106" w:lineRule="exact"/>
        <w:rPr>
          <w:sz w:val="24"/>
          <w:szCs w:val="24"/>
          <w:color w:val="auto"/>
        </w:rPr>
      </w:pPr>
    </w:p>
    <w:p>
      <w:pPr xmlns:w="http://schemas.openxmlformats.org/wordprocessingml/2006/main">
        <w:ind w:left="160" w:right="40" w:hanging="159"/>
        <w:spacing w:after="0" w:line="250" w:lineRule="auto"/>
        <w:tabs>
          <w:tab w:leader="none" w:pos="160" w:val="left"/>
        </w:tabs>
        <w:numPr>
          <w:ilvl w:val="0"/>
          <w:numId w:val="3"/>
        </w:numPr>
        <w:rPr>
          <w:rFonts w:ascii="Arial" w:cs="Arial" w:eastAsia="Arial" w:hAnsi="Arial"/>
          <w:sz w:val="33"/>
          <w:szCs w:val="33"/>
          <w:color w:val="auto"/>
          <w:vertAlign w:val="subscript"/>
        </w:rPr>
      </w:pPr>
      <w:r>
        <w:rPr xmlns:w="http://schemas.openxmlformats.org/wordprocessingml/2006/main">
          <w:rFonts w:ascii="Arial" w:cs="Arial" w:eastAsia="Arial" w:hAnsi="Arial"/>
          <w:sz w:val="14"/>
          <w:szCs w:val="14"/>
          <w:color w:val="auto"/>
        </w:rPr>
        <w:t xml:space="preserve">Rynki wschodzące są na ogół bardziej wrażliwe na warunki gospodarcze i polityczne niż rynki rozwinięte.</w:t>
      </w:r>
      <w:r>
        <w:rPr xmlns:w="http://schemas.openxmlformats.org/wordprocessingml/2006/main">
          <w:rFonts w:ascii="Arial" w:cs="Arial" w:eastAsia="Arial" w:hAnsi="Arial"/>
          <w:sz w:val="14"/>
          <w:szCs w:val="14"/>
          <w:color w:val="auto"/>
        </w:rPr>
        <w:t xml:space="preserve"> Inne czynniki obejmują większe "ryzyko płynności", ograniczenia inwestycji lub transferu aktywów, nieudaną/opóźnioną dostawę papierów wartościowych lub płatności na rzecz funduszu oraz ryzyko związane ze zrównoważonym rozwojem.</w:t>
      </w:r>
    </w:p>
    <w:p>
      <w:pPr>
        <w:spacing w:after="0" w:line="29" w:lineRule="exact"/>
        <w:rPr>
          <w:rFonts w:ascii="Arial" w:cs="Arial" w:eastAsia="Arial" w:hAnsi="Arial"/>
          <w:sz w:val="33"/>
          <w:szCs w:val="33"/>
          <w:color w:val="auto"/>
          <w:vertAlign w:val="subscript"/>
        </w:rPr>
      </w:pPr>
    </w:p>
    <w:p>
      <w:pPr xmlns:w="http://schemas.openxmlformats.org/wordprocessingml/2006/main">
        <w:ind w:left="160" w:right="20" w:hanging="159"/>
        <w:spacing w:after="0" w:line="207" w:lineRule="auto"/>
        <w:tabs>
          <w:tab w:leader="none" w:pos="160" w:val="left"/>
        </w:tabs>
        <w:numPr>
          <w:ilvl w:val="0"/>
          <w:numId w:val="3"/>
        </w:numPr>
        <w:rPr>
          <w:rFonts w:ascii="Arial" w:cs="Arial" w:eastAsia="Arial" w:hAnsi="Arial"/>
          <w:sz w:val="37"/>
          <w:szCs w:val="37"/>
          <w:color w:val="auto"/>
          <w:vertAlign w:val="subscript"/>
        </w:rPr>
      </w:pPr>
      <w:r>
        <w:rPr xmlns:w="http://schemas.openxmlformats.org/wordprocessingml/2006/main">
          <w:rFonts w:ascii="Arial" w:cs="Arial" w:eastAsia="Arial" w:hAnsi="Arial"/>
          <w:sz w:val="15"/>
          <w:szCs w:val="15"/>
          <w:color w:val="auto"/>
        </w:rPr>
        <w:t xml:space="preserve">Ryzyko inwestycyjne koncentruje się w określonych sektorach, krajach, walutach lub przedsiębiorstwach.</w:t>
      </w:r>
      <w:r>
        <w:rPr xmlns:w="http://schemas.openxmlformats.org/wordprocessingml/2006/main">
          <w:rFonts w:ascii="Arial" w:cs="Arial" w:eastAsia="Arial" w:hAnsi="Arial"/>
          <w:sz w:val="15"/>
          <w:szCs w:val="15"/>
          <w:color w:val="auto"/>
        </w:rPr>
        <w:t xml:space="preserve"> Oznacza to, że Fundusz jest bardziej wrażliwy na wszelkie lokalne wydarzenia gospodarcze, rynkowe, polityczne, związane ze zrównoważonym rozwojem lub regulacyjne.</w:t>
      </w:r>
    </w:p>
    <w:p>
      <w:pPr>
        <w:spacing w:after="0" w:line="1" w:lineRule="exact"/>
        <w:rPr>
          <w:rFonts w:ascii="Arial" w:cs="Arial" w:eastAsia="Arial" w:hAnsi="Arial"/>
          <w:sz w:val="37"/>
          <w:szCs w:val="37"/>
          <w:color w:val="auto"/>
          <w:vertAlign w:val="subscript"/>
        </w:rPr>
      </w:pPr>
    </w:p>
    <w:p>
      <w:pPr xmlns:w="http://schemas.openxmlformats.org/wordprocessingml/2006/main">
        <w:ind w:left="160" w:hanging="159"/>
        <w:spacing w:after="0" w:line="180" w:lineRule="auto"/>
        <w:tabs>
          <w:tab w:leader="none" w:pos="160" w:val="left"/>
        </w:tabs>
        <w:numPr>
          <w:ilvl w:val="0"/>
          <w:numId w:val="3"/>
        </w:numPr>
        <w:rPr>
          <w:rFonts w:ascii="Arial" w:cs="Arial" w:eastAsia="Arial" w:hAnsi="Arial"/>
          <w:sz w:val="27"/>
          <w:szCs w:val="27"/>
          <w:color w:val="auto"/>
          <w:vertAlign w:val="subscript"/>
        </w:rPr>
      </w:pPr>
      <w:r>
        <w:rPr xmlns:w="http://schemas.openxmlformats.org/wordprocessingml/2006/main">
          <w:rFonts w:ascii="Arial" w:cs="Arial" w:eastAsia="Arial" w:hAnsi="Arial"/>
          <w:sz w:val="13"/>
          <w:szCs w:val="13"/>
          <w:color w:val="auto"/>
        </w:rPr>
        <w:t xml:space="preserve">Wartość akcji i papierów wartościowych o charakterze udziałowym może być</w:t>
      </w:r>
    </w:p>
    <w:p>
      <w:pPr>
        <w:spacing w:after="0" w:line="56" w:lineRule="exact"/>
        <w:rPr>
          <w:sz w:val="24"/>
          <w:szCs w:val="24"/>
          <w:color w:val="auto"/>
        </w:rPr>
      </w:pPr>
    </w:p>
    <w:p>
      <w:pPr xmlns:w="http://schemas.openxmlformats.org/wordprocessingml/2006/main">
        <w:ind w:left="160"/>
        <w:spacing w:after="0" w:line="285" w:lineRule="auto"/>
        <w:rPr>
          <w:sz w:val="20"/>
          <w:szCs w:val="20"/>
          <w:color w:val="auto"/>
        </w:rPr>
      </w:pPr>
      <w:r>
        <w:rPr xmlns:w="http://schemas.openxmlformats.org/wordprocessingml/2006/main">
          <w:rFonts w:ascii="Arial" w:cs="Arial" w:eastAsia="Arial" w:hAnsi="Arial"/>
          <w:sz w:val="16"/>
          <w:szCs w:val="16"/>
          <w:color w:val="auto"/>
        </w:rPr>
        <w:t xml:space="preserve">zmiany na rynku akcji.</w:t>
      </w:r>
      <w:r>
        <w:rPr xmlns:w="http://schemas.openxmlformats.org/wordprocessingml/2006/main">
          <w:rFonts w:ascii="Arial" w:cs="Arial" w:eastAsia="Arial" w:hAnsi="Arial"/>
          <w:sz w:val="16"/>
          <w:szCs w:val="16"/>
          <w:color w:val="auto"/>
        </w:rPr>
        <w:t xml:space="preserve"> Wśród innych wpływowych czynników znajdują się wiadomości polityczne, gospodarcze, wyniki przedsiębiorstw i ważne wydarzenia korporacyjne.</w:t>
      </w: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rPr>
        <w:t xml:space="preserve">Poszczególne rodzaje ryzyka nieodpowiednio ujęte we wskaźniku ryzyka obejmują:</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-102235</wp:posOffset>
            </wp:positionH>
            <wp:positionV relativeFrom="paragraph">
              <wp:posOffset>-84455</wp:posOffset>
            </wp:positionV>
            <wp:extent cx="45720" cy="7747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60" w:right="100" w:hanging="159"/>
        <w:spacing w:after="0" w:line="208" w:lineRule="auto"/>
        <w:tabs>
          <w:tab w:leader="none" w:pos="160" w:val="left"/>
        </w:tabs>
        <w:numPr>
          <w:ilvl w:val="0"/>
          <w:numId w:val="4"/>
        </w:numPr>
        <w:rPr>
          <w:rFonts w:ascii="Arial" w:cs="Arial" w:eastAsia="Arial" w:hAnsi="Arial"/>
          <w:sz w:val="37"/>
          <w:szCs w:val="37"/>
          <w:color w:val="auto"/>
          <w:vertAlign w:val="subscript"/>
        </w:rPr>
      </w:pPr>
      <w:r>
        <w:rPr xmlns:w="http://schemas.openxmlformats.org/wordprocessingml/2006/main">
          <w:rFonts w:ascii="Arial" w:cs="Arial" w:eastAsia="Arial" w:hAnsi="Arial"/>
          <w:sz w:val="15"/>
          <w:szCs w:val="15"/>
          <w:color w:val="auto"/>
        </w:rPr>
        <w:t xml:space="preserve">Ryzyko kontrahenta: Niewypłacalność instytucji świadczących usługi, takie jak przechowywanie aktywów lub działających jako kontrahent instrumentów pochodnych lub innych instrumentów, może narazić klasę akcji na straty finansowe.</w:t>
      </w:r>
    </w:p>
    <w:p>
      <w:pPr>
        <w:spacing w:after="0" w:line="28" w:lineRule="exact"/>
        <w:rPr>
          <w:rFonts w:ascii="Arial" w:cs="Arial" w:eastAsia="Arial" w:hAnsi="Arial"/>
          <w:sz w:val="37"/>
          <w:szCs w:val="37"/>
          <w:color w:val="auto"/>
          <w:vertAlign w:val="subscript"/>
        </w:rPr>
      </w:pPr>
    </w:p>
    <w:p>
      <w:pPr xmlns:w="http://schemas.openxmlformats.org/wordprocessingml/2006/main">
        <w:ind w:left="160" w:right="40" w:hanging="159"/>
        <w:spacing w:after="0" w:line="182" w:lineRule="auto"/>
        <w:tabs>
          <w:tab w:leader="none" w:pos="160" w:val="left"/>
        </w:tabs>
        <w:numPr>
          <w:ilvl w:val="0"/>
          <w:numId w:val="4"/>
        </w:numPr>
        <w:rPr>
          <w:rFonts w:ascii="Arial" w:cs="Arial" w:eastAsia="Arial" w:hAnsi="Arial"/>
          <w:sz w:val="35"/>
          <w:szCs w:val="35"/>
          <w:color w:val="auto"/>
          <w:vertAlign w:val="subscript"/>
        </w:rPr>
      </w:pPr>
      <w:r>
        <w:rPr xmlns:w="http://schemas.openxmlformats.org/wordprocessingml/2006/main">
          <w:rFonts w:ascii="Arial" w:cs="Arial" w:eastAsia="Arial" w:hAnsi="Arial"/>
          <w:sz w:val="15"/>
          <w:szCs w:val="15"/>
          <w:color w:val="auto"/>
        </w:rPr>
        <w:t xml:space="preserve">Ryzyko płynności: Niższa płynność oznacza, że nie ma wystarczającej liczby kupujących lub sprzedających, aby fundusz mógł łatwo sprzedawać lub kupować inwestycje.</w:t>
      </w:r>
    </w:p>
    <w:p>
      <w:pPr>
        <w:spacing w:after="0" w:line="411" w:lineRule="exact"/>
        <w:rPr>
          <w:sz w:val="24"/>
          <w:szCs w:val="24"/>
          <w:color w:val="auto"/>
        </w:rPr>
      </w:pPr>
    </w:p>
    <w:p>
      <w:pPr>
        <w:sectPr>
          <w:pgSz w:w="11900" w:h="16838" w:orient="portrait"/>
          <w:cols w:equalWidth="0" w:num="2">
            <w:col w:w="5180" w:space="380"/>
            <w:col w:w="5020"/>
          </w:cols>
          <w:pgMar w:left="640" w:top="573" w:right="686" w:bottom="0" w:gutter="0" w:footer="0" w:header="0"/>
          <w:type w:val="continuous"/>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55"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2"/>
          <w:szCs w:val="12"/>
          <w:color w:val="auto"/>
        </w:rPr>
        <w:t xml:space="preserve">Wskaźnik referencyjny stanowi własność intelektualną dostawcy indeksu.</w:t>
      </w:r>
      <w:r>
        <w:rPr xmlns:w="http://schemas.openxmlformats.org/wordprocessingml/2006/main">
          <w:rFonts w:ascii="Arial" w:cs="Arial" w:eastAsia="Arial" w:hAnsi="Arial"/>
          <w:sz w:val="12"/>
          <w:szCs w:val="12"/>
          <w:color w:val="auto"/>
        </w:rPr>
        <w:t xml:space="preserve"> Klasa udziału nie jest sponsorowana ani wspierana przez dostawcę indeksu.</w:t>
      </w:r>
      <w:r>
        <w:rPr xmlns:w="http://schemas.openxmlformats.org/wordprocessingml/2006/main">
          <w:rFonts w:ascii="Arial" w:cs="Arial" w:eastAsia="Arial" w:hAnsi="Arial"/>
          <w:sz w:val="12"/>
          <w:szCs w:val="12"/>
          <w:color w:val="auto"/>
        </w:rPr>
        <w:t xml:space="preserve"> Pełne wyłączenie odpowiedzialności znajduje się w prospekcie emisyjnym Funduszu.</w:t>
      </w:r>
    </w:p>
    <w:p>
      <w:pPr>
        <w:sectPr>
          <w:pgSz w:w="11900" w:h="16838" w:orient="portrait"/>
          <w:cols w:equalWidth="0" w:num="1">
            <w:col w:w="10580"/>
          </w:cols>
          <w:pgMar w:left="640" w:top="573" w:right="686" w:bottom="0" w:gutter="0" w:footer="0" w:header="0"/>
          <w:type w:val="continuous"/>
        </w:sectPr>
      </w:pPr>
    </w:p>
    <w:bookmarkStart w:id="1" w:name="page2"/>
    <w:bookmarkEnd w:id="1"/>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2"/>
          <w:szCs w:val="22"/>
          <w:color w:val="auto"/>
        </w:rPr>
        <w:t xml:space="preserve">Opłaty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52070</wp:posOffset>
            </wp:positionV>
            <wp:extent cx="6767830" cy="952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ectPr>
          <w:pgSz w:w="11900" w:h="16838" w:orient="portrait"/>
          <w:cols w:equalWidth="0" w:num="1">
            <w:col w:w="10660"/>
          </w:cols>
          <w:pgMar w:left="620" w:top="609" w:right="626" w:bottom="0" w:gutter="0" w:footer="0" w:header="0"/>
        </w:sectPr>
      </w:pPr>
    </w:p>
    <w:p>
      <w:pPr>
        <w:spacing w:after="0" w:line="168" w:lineRule="exact"/>
        <w:rPr>
          <w:sz w:val="20"/>
          <w:szCs w:val="20"/>
          <w:color w:val="auto"/>
        </w:rPr>
      </w:pPr>
    </w:p>
    <w:p>
      <w:pPr xmlns:w="http://schemas.openxmlformats.org/wordprocessingml/2006/main">
        <w:ind w:left="60" w:right="60"/>
        <w:spacing w:after="0" w:line="314" w:lineRule="auto"/>
        <w:rPr>
          <w:sz w:val="20"/>
          <w:szCs w:val="20"/>
          <w:color w:val="auto"/>
        </w:rPr>
      </w:pPr>
      <w:r>
        <w:rPr xmlns:w="http://schemas.openxmlformats.org/wordprocessingml/2006/main">
          <w:rFonts w:ascii="Arial" w:cs="Arial" w:eastAsia="Arial" w:hAnsi="Arial"/>
          <w:sz w:val="16"/>
          <w:szCs w:val="16"/>
          <w:color w:val="auto"/>
        </w:rPr>
        <w:t xml:space="preserve">Opłaty te są przeznaczone na pokrycie kosztów prowadzenia Klasy Akcji, w tym kosztów jej marketingu i dystrybucji.</w:t>
      </w:r>
      <w:r>
        <w:rPr xmlns:w="http://schemas.openxmlformats.org/wordprocessingml/2006/main">
          <w:rFonts w:ascii="Arial" w:cs="Arial" w:eastAsia="Arial" w:hAnsi="Arial"/>
          <w:sz w:val="16"/>
          <w:szCs w:val="16"/>
          <w:color w:val="auto"/>
        </w:rPr>
        <w:t xml:space="preserve"> Opłaty te zmniejszają potencjalny wzrost Państwa inwestycji.</w:t>
      </w:r>
    </w:p>
    <w:p>
      <w:pPr>
        <w:spacing w:after="0" w:line="2" w:lineRule="exact"/>
        <w:rPr>
          <w:sz w:val="20"/>
          <w:szCs w:val="20"/>
          <w:color w:val="auto"/>
        </w:rPr>
      </w:pPr>
    </w:p>
    <w:p>
      <w:pPr xmlns:w="http://schemas.openxmlformats.org/wordprocessingml/2006/main">
        <w:ind w:left="60" w:right="240"/>
        <w:spacing w:after="0" w:line="311" w:lineRule="auto"/>
        <w:rPr>
          <w:sz w:val="20"/>
          <w:szCs w:val="20"/>
          <w:color w:val="auto"/>
        </w:rPr>
      </w:pPr>
      <w:r>
        <w:rPr xmlns:w="http://schemas.openxmlformats.org/wordprocessingml/2006/main">
          <w:rFonts w:ascii="Arial" w:cs="Arial" w:eastAsia="Arial" w:hAnsi="Arial"/>
          <w:sz w:val="16"/>
          <w:szCs w:val="16"/>
          <w:color w:val="auto"/>
        </w:rPr>
        <w:t xml:space="preserve">* Nie dotyczy inwestorów rynku wtórnego.</w:t>
      </w:r>
      <w:r>
        <w:rPr xmlns:w="http://schemas.openxmlformats.org/wordprocessingml/2006/main">
          <w:rFonts w:ascii="Arial" w:cs="Arial" w:eastAsia="Arial" w:hAnsi="Arial"/>
          <w:sz w:val="16"/>
          <w:szCs w:val="16"/>
          <w:color w:val="auto"/>
        </w:rPr>
        <w:t xml:space="preserve"> Inwestorzy giełdowi będą ponosić opłaty pobierane przez swoich maklerów giełdowych.</w:t>
      </w:r>
      <w:r>
        <w:rPr xmlns:w="http://schemas.openxmlformats.org/wordprocessingml/2006/main">
          <w:rFonts w:ascii="Arial" w:cs="Arial" w:eastAsia="Arial" w:hAnsi="Arial"/>
          <w:sz w:val="16"/>
          <w:szCs w:val="16"/>
          <w:color w:val="auto"/>
        </w:rPr>
        <w:t xml:space="preserve"> Takie opłaty są publicznie dostępne na giełdach, na których akcje są notowane i znajdują się w obrocie, lub można je uzyskać od maklerów giełdowych.</w:t>
      </w:r>
    </w:p>
    <w:p>
      <w:pPr>
        <w:spacing w:after="0" w:line="2" w:lineRule="exact"/>
        <w:rPr>
          <w:sz w:val="20"/>
          <w:szCs w:val="20"/>
          <w:color w:val="auto"/>
        </w:rPr>
      </w:pPr>
    </w:p>
    <w:p>
      <w:pPr xmlns:w="http://schemas.openxmlformats.org/wordprocessingml/2006/main">
        <w:ind w:left="60" w:right="140"/>
        <w:spacing w:after="0" w:line="315" w:lineRule="auto"/>
        <w:rPr>
          <w:sz w:val="20"/>
          <w:szCs w:val="20"/>
          <w:color w:val="auto"/>
        </w:rPr>
      </w:pPr>
      <w:r>
        <w:rPr xmlns:w="http://schemas.openxmlformats.org/wordprocessingml/2006/main">
          <w:rFonts w:ascii="Arial" w:cs="Arial" w:eastAsia="Arial" w:hAnsi="Arial"/>
          <w:sz w:val="16"/>
          <w:szCs w:val="16"/>
          <w:color w:val="auto"/>
        </w:rPr>
        <w:t xml:space="preserve">* Upoważnieni uczestnicy mający bezpośredni kontakt z Funduszem będą ponosić związane z tym koszty transakcyjne, w tym - w przypadku umorzeń - wszelkie mające zastosowanie podatki od zysków kapitałowych (CGT) i inne podatki od bazowych papierów wartościowych.</w:t>
      </w:r>
    </w:p>
    <w:p>
      <w:pPr>
        <w:spacing w:after="0" w:line="30" w:lineRule="exact"/>
        <w:rPr>
          <w:sz w:val="20"/>
          <w:szCs w:val="20"/>
          <w:color w:val="auto"/>
        </w:rPr>
      </w:pPr>
    </w:p>
    <w:p>
      <w:pPr xmlns:w="http://schemas.openxmlformats.org/wordprocessingml/2006/main">
        <w:ind w:left="60"/>
        <w:spacing w:after="0" w:line="337" w:lineRule="auto"/>
        <w:rPr>
          <w:sz w:val="20"/>
          <w:szCs w:val="20"/>
          <w:color w:val="auto"/>
        </w:rPr>
      </w:pPr>
      <w:r>
        <w:rPr xmlns:w="http://schemas.openxmlformats.org/wordprocessingml/2006/main">
          <w:rFonts w:ascii="Arial" w:cs="Arial" w:eastAsia="Arial" w:hAnsi="Arial"/>
          <w:sz w:val="15"/>
          <w:szCs w:val="15"/>
          <w:color w:val="auto"/>
        </w:rPr>
        <w:t xml:space="preserve">Kwota opłat bieżących opiera się na stałej rocznej opłacie pobieranej od klasy akcji zgodnie z prospektem emisyjnym Funduszu.</w:t>
      </w:r>
      <w:r>
        <w:rPr xmlns:w="http://schemas.openxmlformats.org/wordprocessingml/2006/main">
          <w:rFonts w:ascii="Arial" w:cs="Arial" w:eastAsia="Arial" w:hAnsi="Arial"/>
          <w:sz w:val="15"/>
          <w:szCs w:val="15"/>
          <w:color w:val="auto"/>
        </w:rPr>
        <w:t xml:space="preserve"> Kwota ta nie obejmuje kosztów związanych z handlem portfelem, z wyjątkiem kosztów poniesionych na rzecz depozytariusza oraz wszelkich opłat za wejście/wyjście uiszczonych na rzecz bazowego systemu zbiorowego inwestowania (jeżeli takie istnieją).</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148" w:lineRule="exact"/>
        <w:rPr>
          <w:sz w:val="20"/>
          <w:szCs w:val="20"/>
          <w:color w:val="auto"/>
        </w:rPr>
      </w:pPr>
    </w:p>
    <w:p>
      <w:pPr xmlns:w="http://schemas.openxmlformats.org/wordprocessingml/2006/main">
        <w:jc w:val="both"/>
        <w:ind w:left="20" w:right="40" w:hanging="6"/>
        <w:spacing w:after="0" w:line="333" w:lineRule="auto"/>
        <w:tabs>
          <w:tab w:leader="none" w:pos="239" w:val="left"/>
        </w:tabs>
        <w:numPr>
          <w:ilvl w:val="0"/>
          <w:numId w:val="5"/>
        </w:numPr>
        <w:rPr>
          <w:rFonts w:ascii="Arial" w:cs="Arial" w:eastAsia="Arial" w:hAnsi="Arial"/>
          <w:sz w:val="15"/>
          <w:szCs w:val="15"/>
          <w:color w:val="auto"/>
        </w:rPr>
      </w:pPr>
      <w:r>
        <w:rPr xmlns:w="http://schemas.openxmlformats.org/wordprocessingml/2006/main">
          <w:rFonts w:ascii="Arial" w:cs="Arial" w:eastAsia="Arial" w:hAnsi="Arial"/>
          <w:sz w:val="15"/>
          <w:szCs w:val="15"/>
          <w:color w:val="auto"/>
        </w:rPr>
        <w:t xml:space="preserve">W zakresie, w jakim Fundusz udziela pożyczek papierów wartościowych w celu obniżenia kosztów, Fundusz otrzyma 62.5 % związanych z tym przychodów, a pozostałe 37.5 % zostanie otrzymane przez BlackRock jako podmiot udzielający pożyczek papierów wartościowych.</w:t>
      </w:r>
      <w:r>
        <w:rPr xmlns:w="http://schemas.openxmlformats.org/wordprocessingml/2006/main">
          <w:rFonts w:ascii="Arial" w:cs="Arial" w:eastAsia="Arial" w:hAnsi="Arial"/>
          <w:sz w:val="15"/>
          <w:szCs w:val="15"/>
          <w:color w:val="auto"/>
        </w:rPr>
        <w:t xml:space="preserve"> Ponieważ podział przychodów z pożyczek papierów wartościowych nie zwiększa kosztów funkcjonowania Funduszu, nie jest on uwzględniany w bieżących opłatach.</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3175</wp:posOffset>
            </wp:positionV>
            <wp:extent cx="3208020" cy="17272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a:extLst>
                        <a:ext uri="{28A0092B-C50C-407E-A947-70E740481C1C}"/>
                      </a:extLst>
                    </a:blip>
                    <a:srcRect/>
                    <a:stretch>
                      <a:fillRect/>
                    </a:stretch>
                  </pic:blipFill>
                  <pic:spPr bwMode="auto">
                    <a:xfrm>
                      <a:off x="0" y="0"/>
                      <a:ext cx="3208020" cy="172720"/>
                    </a:xfrm>
                    <a:prstGeom prst="rect">
                      <a:avLst/>
                    </a:prstGeom>
                    <a:noFill/>
                  </pic:spPr>
                </pic:pic>
              </a:graphicData>
            </a:graphic>
          </wp:anchor>
        </w:drawing>
      </w:r>
    </w:p>
    <w:p>
      <w:pPr>
        <w:spacing w:after="0" w:line="18"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Jednorazowe opłaty pobierane przed lub po dokonaniu inwestycji</w:t>
      </w:r>
    </w:p>
    <w:p>
      <w:pPr>
        <w:spacing w:after="0" w:line="54" w:lineRule="exact"/>
        <w:rPr>
          <w:sz w:val="20"/>
          <w:szCs w:val="20"/>
          <w:color w:val="auto"/>
        </w:rPr>
      </w:pPr>
    </w:p>
    <w:tbl>
      <w:tblPr>
        <w:tblLayout w:type="fixed"/>
        <w:tblInd w:w="0" w:type="dxa"/>
        <w:tblCellMar>
          <w:top w:w="0" w:type="dxa"/>
          <w:left w:w="0" w:type="dxa"/>
          <w:bottom w:w="0" w:type="dxa"/>
          <w:right w:w="0" w:type="dxa"/>
        </w:tblCellMar>
      </w:tblPr>
      <w:tr>
        <w:trPr>
          <w:trHeight w:val="263"/>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Opłata Wejściowa</w:t>
            </w:r>
          </w:p>
        </w:tc>
        <w:tc>
          <w:tcPr>
            <w:tcW w:w="1540" w:type="dxa"/>
            <w:vAlign w:val="bottom"/>
            <w:tcBorders>
              <w:right w:val="single" w:sz="8" w:color="auto"/>
            </w:tcBorders>
          </w:tcPr>
          <w:p>
            <w:pPr xmlns:w="http://schemas.openxmlformats.org/wordprocessingml/2006/main">
              <w:ind w:left="1040"/>
              <w:spacing w:after="0"/>
              <w:rPr>
                <w:sz w:val="20"/>
                <w:szCs w:val="20"/>
                <w:color w:val="auto"/>
              </w:rPr>
            </w:pPr>
            <w:r>
              <w:rPr xmlns:w="http://schemas.openxmlformats.org/wordprocessingml/2006/main">
                <w:rFonts w:ascii="Arial" w:cs="Arial" w:eastAsia="Arial" w:hAnsi="Arial"/>
                <w:sz w:val="16"/>
                <w:szCs w:val="16"/>
                <w:color w:val="auto"/>
                <w:w w:val="98"/>
              </w:rPr>
              <w:t xml:space="preserve">Brak*</w:t>
            </w:r>
          </w:p>
        </w:tc>
      </w:tr>
      <w:tr>
        <w:trPr>
          <w:trHeight w:val="41"/>
        </w:trPr>
        <w:tc>
          <w:tcPr>
            <w:tcW w:w="3540" w:type="dxa"/>
            <w:vAlign w:val="bottom"/>
            <w:tcBorders>
              <w:bottom w:val="single" w:sz="8" w:color="auto"/>
            </w:tcBorders>
            <w:shd w:val="clear" w:color="auto" w:fill="000000"/>
          </w:tcPr>
          <w:p>
            <w:pPr>
              <w:spacing w:after="0"/>
              <w:rPr>
                <w:sz w:val="3"/>
                <w:szCs w:val="3"/>
                <w:color w:val="auto"/>
              </w:rPr>
            </w:pPr>
          </w:p>
        </w:tc>
        <w:tc>
          <w:tcPr>
            <w:tcW w:w="1540" w:type="dxa"/>
            <w:vAlign w:val="bottom"/>
            <w:tcBorders>
              <w:bottom w:val="single" w:sz="8" w:color="auto"/>
              <w:right w:val="single" w:sz="8" w:color="auto"/>
            </w:tcBorders>
          </w:tcPr>
          <w:p>
            <w:pPr>
              <w:spacing w:after="0"/>
              <w:rPr>
                <w:sz w:val="3"/>
                <w:szCs w:val="3"/>
                <w:color w:val="auto"/>
              </w:rPr>
            </w:pPr>
          </w:p>
        </w:tc>
      </w:tr>
      <w:tr>
        <w:trPr>
          <w:trHeight w:val="243"/>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Opłata za wyjście</w:t>
            </w:r>
          </w:p>
        </w:tc>
        <w:tc>
          <w:tcPr>
            <w:tcW w:w="1540" w:type="dxa"/>
            <w:vAlign w:val="bottom"/>
            <w:tcBorders>
              <w:right w:val="single" w:sz="8" w:color="auto"/>
            </w:tcBorders>
          </w:tcPr>
          <w:p>
            <w:pPr xmlns:w="http://schemas.openxmlformats.org/wordprocessingml/2006/main">
              <w:ind w:left="1040"/>
              <w:spacing w:after="0"/>
              <w:rPr>
                <w:sz w:val="20"/>
                <w:szCs w:val="20"/>
                <w:color w:val="auto"/>
              </w:rPr>
            </w:pPr>
            <w:r>
              <w:rPr xmlns:w="http://schemas.openxmlformats.org/wordprocessingml/2006/main">
                <w:rFonts w:ascii="Arial" w:cs="Arial" w:eastAsia="Arial" w:hAnsi="Arial"/>
                <w:sz w:val="16"/>
                <w:szCs w:val="16"/>
                <w:color w:val="auto"/>
                <w:w w:val="98"/>
              </w:rPr>
              <w:t xml:space="preserve">Brak*</w:t>
            </w:r>
          </w:p>
        </w:tc>
      </w:tr>
      <w:tr>
        <w:trPr>
          <w:trHeight w:val="41"/>
        </w:trPr>
        <w:tc>
          <w:tcPr>
            <w:tcW w:w="3540" w:type="dxa"/>
            <w:vAlign w:val="bottom"/>
            <w:tcBorders>
              <w:bottom w:val="single" w:sz="8" w:color="auto"/>
            </w:tcBorders>
            <w:shd w:val="clear" w:color="auto" w:fill="000000"/>
          </w:tcPr>
          <w:p>
            <w:pPr>
              <w:spacing w:after="0"/>
              <w:rPr>
                <w:sz w:val="3"/>
                <w:szCs w:val="3"/>
                <w:color w:val="auto"/>
              </w:rPr>
            </w:pPr>
          </w:p>
        </w:tc>
        <w:tc>
          <w:tcPr>
            <w:tcW w:w="1540" w:type="dxa"/>
            <w:vAlign w:val="bottom"/>
            <w:tcBorders>
              <w:bottom w:val="single" w:sz="8" w:color="auto"/>
              <w:right w:val="single" w:sz="8" w:color="auto"/>
            </w:tcBorders>
          </w:tcPr>
          <w:p>
            <w:pPr>
              <w:spacing w:after="0"/>
              <w:rPr>
                <w:sz w:val="3"/>
                <w:szCs w:val="3"/>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-201930</wp:posOffset>
            </wp:positionV>
            <wp:extent cx="2245995" cy="952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a:extLst>
                        <a:ext uri="{28A0092B-C50C-407E-A947-70E740481C1C}"/>
                      </a:extLst>
                    </a:blip>
                    <a:srcRect/>
                    <a:stretch>
                      <a:fillRect/>
                    </a:stretch>
                  </pic:blipFill>
                  <pic:spPr bwMode="auto">
                    <a:xfrm>
                      <a:off x="0" y="0"/>
                      <a:ext cx="2245995"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-394335</wp:posOffset>
            </wp:positionV>
            <wp:extent cx="3199130" cy="952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a:extLst>
                        <a:ext uri="{28A0092B-C50C-407E-A947-70E740481C1C}"/>
                      </a:extLst>
                    </a:blip>
                    <a:srcRect/>
                    <a:stretch>
                      <a:fillRect/>
                    </a:stretch>
                  </pic:blipFill>
                  <pic:spPr bwMode="auto">
                    <a:xfrm>
                      <a:off x="0" y="0"/>
                      <a:ext cx="3199130" cy="9525"/>
                    </a:xfrm>
                    <a:prstGeom prst="rect">
                      <a:avLst/>
                    </a:prstGeom>
                    <a:noFill/>
                  </pic:spPr>
                </pic:pic>
              </a:graphicData>
            </a:graphic>
          </wp:anchor>
        </w:drawing>
      </w:r>
    </w:p>
    <w:p>
      <w:pPr>
        <w:spacing w:after="0" w:line="14" w:lineRule="exact"/>
        <w:rPr>
          <w:sz w:val="20"/>
          <w:szCs w:val="20"/>
          <w:color w:val="auto"/>
        </w:rPr>
      </w:pPr>
    </w:p>
    <w:p>
      <w:pPr xmlns:w="http://schemas.openxmlformats.org/wordprocessingml/2006/main">
        <w:ind w:left="100" w:right="240"/>
        <w:spacing w:after="0" w:line="340" w:lineRule="auto"/>
        <w:rPr>
          <w:sz w:val="20"/>
          <w:szCs w:val="20"/>
          <w:color w:val="auto"/>
        </w:rPr>
      </w:pPr>
      <w:r>
        <w:rPr xmlns:w="http://schemas.openxmlformats.org/wordprocessingml/2006/main">
          <w:rFonts w:ascii="Arial" w:cs="Arial" w:eastAsia="Arial" w:hAnsi="Arial"/>
          <w:sz w:val="14"/>
          <w:szCs w:val="14"/>
          <w:color w:val="auto"/>
        </w:rPr>
        <w:t xml:space="preserve">Jest to maksymalna kwota, która może zostać pobrana z Twoich pieniędzy przed dokonaniem inwestycji lub przed wypłaceniem wpływów z Twoich inwestycji.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-17145</wp:posOffset>
            </wp:positionV>
            <wp:extent cx="3208020" cy="18351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a:extLst>
                        <a:ext uri="{28A0092B-C50C-407E-A947-70E740481C1C}"/>
                      </a:extLst>
                    </a:blip>
                    <a:srcRect/>
                    <a:stretch>
                      <a:fillRect/>
                    </a:stretch>
                  </pic:blipFill>
                  <pic:spPr bwMode="auto">
                    <a:xfrm>
                      <a:off x="0" y="0"/>
                      <a:ext cx="3208020" cy="183515"/>
                    </a:xfrm>
                    <a:prstGeom prst="rect">
                      <a:avLst/>
                    </a:prstGeom>
                    <a:noFill/>
                  </pic:spPr>
                </pic:pic>
              </a:graphicData>
            </a:graphic>
          </wp:anchor>
        </w:drawing>
      </w: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Opłaty pobierane z klasy akcji w ciągu każdego roku</w:t>
      </w:r>
    </w:p>
    <w:p>
      <w:pPr>
        <w:spacing w:after="0" w:line="71"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Opłaty Bieżące</w:t>
            </w:r>
          </w:p>
        </w:tc>
        <w:tc>
          <w:tcPr>
            <w:tcW w:w="700" w:type="dxa"/>
            <w:vAlign w:val="bottom"/>
          </w:tcPr>
          <w:p>
            <w:pPr>
              <w:spacing w:after="0"/>
              <w:rPr>
                <w:sz w:val="20"/>
                <w:szCs w:val="20"/>
                <w:color w:val="auto"/>
              </w:rPr>
            </w:pPr>
          </w:p>
        </w:tc>
        <w:tc>
          <w:tcPr>
            <w:tcW w:w="840" w:type="dxa"/>
            <w:vAlign w:val="bottom"/>
            <w:tcBorders>
              <w:right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auto"/>
              </w:rPr>
              <w:t xml:space="preserve">0.40%**</w:t>
            </w:r>
          </w:p>
        </w:tc>
      </w:tr>
      <w:tr>
        <w:trPr>
          <w:trHeight w:val="24"/>
        </w:trPr>
        <w:tc>
          <w:tcPr>
            <w:tcW w:w="3540" w:type="dxa"/>
            <w:vAlign w:val="bottom"/>
            <w:tcBorders>
              <w:bottom w:val="single" w:sz="8" w:color="auto"/>
            </w:tcBorders>
            <w:shd w:val="clear" w:color="auto" w:fill="000000"/>
          </w:tcPr>
          <w:p>
            <w:pPr>
              <w:spacing w:after="0"/>
              <w:rPr>
                <w:sz w:val="2"/>
                <w:szCs w:val="2"/>
                <w:color w:val="auto"/>
              </w:rPr>
            </w:pPr>
          </w:p>
        </w:tc>
        <w:tc>
          <w:tcPr>
            <w:tcW w:w="700" w:type="dxa"/>
            <w:vAlign w:val="bottom"/>
            <w:tcBorders>
              <w:bottom w:val="single" w:sz="8" w:color="auto"/>
            </w:tcBorders>
          </w:tcPr>
          <w:p>
            <w:pPr>
              <w:spacing w:after="0"/>
              <w:rPr>
                <w:sz w:val="2"/>
                <w:szCs w:val="2"/>
                <w:color w:val="auto"/>
              </w:rPr>
            </w:pPr>
          </w:p>
        </w:tc>
        <w:tc>
          <w:tcPr>
            <w:tcW w:w="840" w:type="dxa"/>
            <w:vAlign w:val="bottom"/>
            <w:tcBorders>
              <w:bottom w:val="single" w:sz="8" w:color="auto"/>
              <w:right w:val="single" w:sz="8" w:color="auto"/>
            </w:tcBorders>
          </w:tcPr>
          <w:p>
            <w:pPr>
              <w:spacing w:after="0"/>
              <w:rPr>
                <w:sz w:val="2"/>
                <w:szCs w:val="2"/>
                <w:color w:val="auto"/>
              </w:rPr>
            </w:pPr>
          </w:p>
        </w:tc>
      </w:tr>
      <w:tr>
        <w:trPr>
          <w:trHeight w:val="264"/>
        </w:trPr>
        <w:tc>
          <w:tcPr>
            <w:tcW w:w="4240" w:type="dxa"/>
            <w:vAlign w:val="bottom"/>
            <w:tcBorders>
              <w:bottom w:val="single" w:sz="8" w:color="auto"/>
            </w:tcBorders>
            <w:gridSpan w:val="2"/>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w w:val="96"/>
              </w:rPr>
              <w:t xml:space="preserve">Opłaty pobrane z klasy akcji pod pewnymi warunkami</w:t>
            </w:r>
          </w:p>
        </w:tc>
        <w:tc>
          <w:tcPr>
            <w:tcW w:w="840" w:type="dxa"/>
            <w:vAlign w:val="bottom"/>
            <w:tcBorders>
              <w:bottom w:val="single" w:sz="8" w:color="auto"/>
              <w:right w:val="single" w:sz="8" w:color="auto"/>
            </w:tcBorders>
            <w:shd w:val="clear" w:color="auto" w:fill="000000"/>
          </w:tcPr>
          <w:p>
            <w:pPr>
              <w:spacing w:after="0"/>
              <w:rPr>
                <w:sz w:val="22"/>
                <w:szCs w:val="22"/>
                <w:color w:val="auto"/>
              </w:rPr>
            </w:pPr>
          </w:p>
        </w:tc>
      </w:tr>
      <w:tr>
        <w:trPr>
          <w:trHeight w:val="242"/>
        </w:trPr>
        <w:tc>
          <w:tcPr>
            <w:tcW w:w="3540" w:type="dxa"/>
            <w:vAlign w:val="bottom"/>
            <w:tcBorders>
              <w:bottom w:val="single" w:sz="8" w:color="auto"/>
            </w:tcBorders>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Opłata za wydajność</w:t>
            </w:r>
          </w:p>
        </w:tc>
        <w:tc>
          <w:tcPr>
            <w:tcW w:w="700" w:type="dxa"/>
            <w:vAlign w:val="bottom"/>
            <w:tcBorders>
              <w:bottom w:val="single" w:sz="8" w:color="auto"/>
            </w:tcBorders>
          </w:tcPr>
          <w:p>
            <w:pPr>
              <w:spacing w:after="0"/>
              <w:rPr>
                <w:sz w:val="21"/>
                <w:szCs w:val="21"/>
                <w:color w:val="auto"/>
              </w:rPr>
            </w:pPr>
          </w:p>
        </w:tc>
        <w:tc>
          <w:tcPr>
            <w:tcW w:w="840" w:type="dxa"/>
            <w:vAlign w:val="bottom"/>
            <w:tcBorders>
              <w:bottom w:val="single" w:sz="8" w:color="auto"/>
              <w:right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auto"/>
              </w:rPr>
              <w:t xml:space="preserve">Brak</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-358775</wp:posOffset>
            </wp:positionV>
            <wp:extent cx="3199130" cy="952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a:extLst>
                        <a:ext uri="{28A0092B-C50C-407E-A947-70E740481C1C}"/>
                      </a:extLst>
                    </a:blip>
                    <a:srcRect/>
                    <a:stretch>
                      <a:fillRect/>
                    </a:stretch>
                  </pic:blipFill>
                  <pic:spPr bwMode="auto">
                    <a:xfrm>
                      <a:off x="0" y="0"/>
                      <a:ext cx="3199130"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-165735</wp:posOffset>
            </wp:positionV>
            <wp:extent cx="3199130" cy="952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a:extLst>
                        <a:ext uri="{28A0092B-C50C-407E-A947-70E740481C1C}"/>
                      </a:extLst>
                    </a:blip>
                    <a:srcRect/>
                    <a:stretch>
                      <a:fillRect/>
                    </a:stretch>
                  </pic:blipFill>
                  <pic:spPr bwMode="auto">
                    <a:xfrm>
                      <a:off x="0" y="0"/>
                      <a:ext cx="3199130"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-522605</wp:posOffset>
            </wp:positionV>
            <wp:extent cx="3199130" cy="952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extLst>
                    </a:blip>
                    <a:srcRect/>
                    <a:stretch>
                      <a:fillRect/>
                    </a:stretch>
                  </pic:blipFill>
                  <pic:spPr bwMode="auto">
                    <a:xfrm>
                      <a:off x="0" y="0"/>
                      <a:ext cx="3199130" cy="9525"/>
                    </a:xfrm>
                    <a:prstGeom prst="rect">
                      <a:avLst/>
                    </a:prstGeom>
                    <a:noFill/>
                  </pic:spPr>
                </pic:pic>
              </a:graphicData>
            </a:graphic>
          </wp:anchor>
        </w:drawing>
      </w:r>
    </w:p>
    <w:p>
      <w:pPr>
        <w:spacing w:after="0" w:line="42" w:lineRule="exact"/>
        <w:rPr>
          <w:sz w:val="20"/>
          <w:szCs w:val="20"/>
          <w:color w:val="auto"/>
        </w:rPr>
      </w:pPr>
    </w:p>
    <w:p>
      <w:pPr>
        <w:sectPr>
          <w:pgSz w:w="11900" w:h="16838" w:orient="portrait"/>
          <w:cols w:equalWidth="0" w:num="2">
            <w:col w:w="5340" w:space="260"/>
            <w:col w:w="5060"/>
          </w:cols>
          <w:pgMar w:left="620" w:top="609" w:right="626" w:bottom="0" w:gutter="0" w:footer="0" w:header="0"/>
          <w:type w:val="continuous"/>
        </w:sect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2"/>
          <w:szCs w:val="22"/>
          <w:color w:val="auto"/>
        </w:rPr>
        <w:t xml:space="preserve">Dotychczasowa wydajność</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52070</wp:posOffset>
            </wp:positionV>
            <wp:extent cx="6767830" cy="952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ectPr>
          <w:pgSz w:w="11900" w:h="16838" w:orient="portrait"/>
          <w:cols w:equalWidth="0" w:num="1">
            <w:col w:w="10660"/>
          </w:cols>
          <w:pgMar w:left="620" w:top="609" w:right="626" w:bottom="0" w:gutter="0" w:footer="0" w:header="0"/>
          <w:type w:val="continuous"/>
        </w:sectPr>
      </w:pPr>
    </w:p>
    <w:p>
      <w:pPr>
        <w:spacing w:after="0" w:line="112" w:lineRule="exact"/>
        <w:rPr>
          <w:sz w:val="20"/>
          <w:szCs w:val="20"/>
          <w:color w:val="auto"/>
        </w:rPr>
      </w:pPr>
    </w:p>
    <w:p>
      <w:pPr xmlns:w="http://schemas.openxmlformats.org/wordprocessingml/2006/main">
        <w:ind w:right="80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Dotychczasowa wydajność nie jest wskazówką dla przyszłej wydajności.</w:t>
      </w:r>
    </w:p>
    <w:p>
      <w:pPr>
        <w:spacing w:after="0" w:line="1" w:lineRule="exact"/>
        <w:rPr>
          <w:sz w:val="20"/>
          <w:szCs w:val="20"/>
          <w:color w:val="auto"/>
        </w:rPr>
      </w:pPr>
    </w:p>
    <w:p>
      <w:pPr xmlns:w="http://schemas.openxmlformats.org/wordprocessingml/2006/main">
        <w:ind w:right="60"/>
        <w:spacing w:after="0" w:line="328" w:lineRule="auto"/>
        <w:rPr>
          <w:sz w:val="20"/>
          <w:szCs w:val="20"/>
          <w:color w:val="auto"/>
        </w:rPr>
      </w:pPr>
      <w:r>
        <w:rPr xmlns:w="http://schemas.openxmlformats.org/wordprocessingml/2006/main">
          <w:rFonts w:ascii="Arial" w:cs="Arial" w:eastAsia="Arial" w:hAnsi="Arial"/>
          <w:sz w:val="15"/>
          <w:szCs w:val="15"/>
          <w:color w:val="auto"/>
        </w:rPr>
        <w:t xml:space="preserve">Wykres pokazuje roczną wydajność klasy akcji w USD dla każdego pełnego roku kalendarzowego w okresie wyświetlanym na wykresie.</w:t>
      </w:r>
      <w:r>
        <w:rPr xmlns:w="http://schemas.openxmlformats.org/wordprocessingml/2006/main">
          <w:rFonts w:ascii="Arial" w:cs="Arial" w:eastAsia="Arial" w:hAnsi="Arial"/>
          <w:sz w:val="15"/>
          <w:szCs w:val="15"/>
          <w:color w:val="auto"/>
        </w:rPr>
        <w:t xml:space="preserve"> Jest ona wyrażona jako procentowa zmiana wartości aktywów netto klasy akcji na koniec każdego roku.</w:t>
      </w:r>
      <w:r>
        <w:rPr xmlns:w="http://schemas.openxmlformats.org/wordprocessingml/2006/main">
          <w:rFonts w:ascii="Arial" w:cs="Arial" w:eastAsia="Arial" w:hAnsi="Arial"/>
          <w:sz w:val="15"/>
          <w:szCs w:val="15"/>
          <w:color w:val="auto"/>
        </w:rPr>
        <w:t xml:space="preserve"> Fundusz został uruchomiony w 2016 r.</w:t>
      </w:r>
      <w:r>
        <w:rPr xmlns:w="http://schemas.openxmlformats.org/wordprocessingml/2006/main">
          <w:rFonts w:ascii="Arial" w:cs="Arial" w:eastAsia="Arial" w:hAnsi="Arial"/>
          <w:sz w:val="15"/>
          <w:szCs w:val="15"/>
          <w:color w:val="auto"/>
        </w:rPr>
        <w:t xml:space="preserve"> W 2016 r. uruchomiono klasę Share.</w:t>
      </w:r>
      <w:r>
        <w:rPr xmlns:w="http://schemas.openxmlformats.org/wordprocessingml/2006/main">
          <w:rFonts w:ascii="Arial" w:cs="Arial" w:eastAsia="Arial" w:hAnsi="Arial"/>
          <w:sz w:val="15"/>
          <w:szCs w:val="15"/>
          <w:color w:val="auto"/>
        </w:rPr>
        <w:t xml:space="preserve"> Wyniki są wykazywane po odjęciu bieżących opłat.</w:t>
      </w:r>
      <w:r>
        <w:rPr xmlns:w="http://schemas.openxmlformats.org/wordprocessingml/2006/main">
          <w:rFonts w:ascii="Arial" w:cs="Arial" w:eastAsia="Arial" w:hAnsi="Arial"/>
          <w:sz w:val="15"/>
          <w:szCs w:val="15"/>
          <w:color w:val="auto"/>
        </w:rPr>
        <w:t xml:space="preserve"> Wszelkie opłaty za wjazd/wyjazd są wyłączone z obliczeń.</w:t>
      </w:r>
    </w:p>
    <w:p>
      <w:pPr>
        <w:spacing w:after="0" w:line="6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3"/>
          <w:szCs w:val="13"/>
          <w:color w:val="auto"/>
        </w:rPr>
        <w:t xml:space="preserve">† Wskaźnik referencyjny: STOXX Global Digitalization Index (USD)</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92"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Historyczny performans do 31 grudnia 2023 roku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487680</wp:posOffset>
            </wp:positionH>
            <wp:positionV relativeFrom="paragraph">
              <wp:posOffset>20955</wp:posOffset>
            </wp:positionV>
            <wp:extent cx="3977640" cy="155448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a:extLst>
                        <a:ext uri="{28A0092B-C50C-407E-A947-70E740481C1C}"/>
                      </a:extLst>
                    </a:blip>
                    <a:srcRect/>
                    <a:stretch>
                      <a:fillRect/>
                    </a:stretch>
                  </pic:blipFill>
                  <pic:spPr bwMode="auto">
                    <a:xfrm>
                      <a:off x="0" y="0"/>
                      <a:ext cx="3977640" cy="155448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1260" w:type="dxa"/>
            <w:vAlign w:val="bottom"/>
            <w:tcBorders>
              <w:bottom w:val="single" w:sz="8" w:color="808080"/>
              <w:right w:val="single" w:sz="8" w:color="808080"/>
            </w:tcBorders>
            <w:gridSpan w:val="2"/>
          </w:tcPr>
          <w:p>
            <w:pPr>
              <w:spacing w:after="0"/>
              <w:rPr>
                <w:sz w:val="19"/>
                <w:szCs w:val="19"/>
                <w:color w:val="auto"/>
              </w:rPr>
            </w:pP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2014</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2015</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2016</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2017</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2018</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2019</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2020</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2021</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2022</w:t>
            </w:r>
          </w:p>
        </w:tc>
        <w:tc>
          <w:tcPr>
            <w:tcW w:w="580" w:type="dxa"/>
            <w:vAlign w:val="bottom"/>
            <w:tcBorders>
              <w:bottom w:val="single" w:sz="8" w:color="808080"/>
            </w:tcBorders>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2023</w:t>
            </w:r>
          </w:p>
        </w:tc>
        <w:tc>
          <w:tcPr>
            <w:tcW w:w="0" w:type="dxa"/>
            <w:vAlign w:val="bottom"/>
          </w:tcPr>
          <w:p>
            <w:pPr>
              <w:spacing w:after="0"/>
              <w:rPr>
                <w:sz w:val="1"/>
                <w:szCs w:val="1"/>
                <w:color w:val="auto"/>
              </w:rPr>
            </w:pPr>
          </w:p>
        </w:tc>
      </w:tr>
      <w:tr>
        <w:trPr>
          <w:trHeight w:val="163"/>
        </w:trPr>
        <w:tc>
          <w:tcPr>
            <w:tcW w:w="140" w:type="dxa"/>
            <w:vAlign w:val="bottom"/>
            <w:shd w:val="clear" w:color="auto" w:fill="FF4713"/>
          </w:tcPr>
          <w:p>
            <w:pPr>
              <w:spacing w:after="0"/>
              <w:rPr>
                <w:sz w:val="14"/>
                <w:szCs w:val="14"/>
                <w:color w:val="auto"/>
              </w:rPr>
            </w:pPr>
          </w:p>
        </w:tc>
        <w:tc>
          <w:tcPr>
            <w:tcW w:w="1120" w:type="dxa"/>
            <w:vAlign w:val="bottom"/>
            <w:tcBorders>
              <w:right w:val="single" w:sz="8" w:color="808080"/>
            </w:tcBorders>
            <w:vMerge w:val="restart"/>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Fundusz</w:t>
            </w:r>
          </w:p>
        </w:tc>
        <w:tc>
          <w:tcPr>
            <w:tcW w:w="580" w:type="dxa"/>
            <w:vAlign w:val="bottom"/>
            <w:tcBorders>
              <w:right w:val="single" w:sz="8" w:color="808080"/>
            </w:tcBorders>
          </w:tcPr>
          <w:p>
            <w:pPr>
              <w:spacing w:after="0"/>
              <w:rPr>
                <w:sz w:val="14"/>
                <w:szCs w:val="14"/>
                <w:color w:val="auto"/>
              </w:rPr>
            </w:pPr>
          </w:p>
        </w:tc>
        <w:tc>
          <w:tcPr>
            <w:tcW w:w="580" w:type="dxa"/>
            <w:vAlign w:val="bottom"/>
            <w:tcBorders>
              <w:right w:val="single" w:sz="8" w:color="808080"/>
            </w:tcBorders>
          </w:tcPr>
          <w:p>
            <w:pPr>
              <w:spacing w:after="0"/>
              <w:rPr>
                <w:sz w:val="14"/>
                <w:szCs w:val="14"/>
                <w:color w:val="auto"/>
              </w:rPr>
            </w:pPr>
          </w:p>
        </w:tc>
        <w:tc>
          <w:tcPr>
            <w:tcW w:w="580" w:type="dxa"/>
            <w:vAlign w:val="bottom"/>
            <w:tcBorders>
              <w:right w:val="single" w:sz="8" w:color="808080"/>
            </w:tcBorders>
          </w:tcPr>
          <w:p>
            <w:pPr>
              <w:spacing w:after="0"/>
              <w:rPr>
                <w:sz w:val="14"/>
                <w:szCs w:val="14"/>
                <w:color w:val="auto"/>
              </w:rPr>
            </w:pP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27,8</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- 4,4</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25,5</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41,2</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0,6</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- 35,9</w:t>
            </w:r>
          </w:p>
        </w:tc>
        <w:tc>
          <w:tcPr>
            <w:tcW w:w="58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31,5</w:t>
            </w:r>
          </w:p>
        </w:tc>
        <w:tc>
          <w:tcPr>
            <w:tcW w:w="0" w:type="dxa"/>
            <w:vAlign w:val="bottom"/>
          </w:tcPr>
          <w:p>
            <w:pPr>
              <w:spacing w:after="0"/>
              <w:rPr>
                <w:sz w:val="1"/>
                <w:szCs w:val="1"/>
                <w:color w:val="auto"/>
              </w:rPr>
            </w:pPr>
          </w:p>
        </w:tc>
      </w:tr>
      <w:tr>
        <w:trPr>
          <w:trHeight w:val="63"/>
        </w:trPr>
        <w:tc>
          <w:tcPr>
            <w:tcW w:w="140" w:type="dxa"/>
            <w:vAlign w:val="bottom"/>
            <w:tcBorders>
              <w:bottom w:val="single" w:sz="8" w:color="808080"/>
            </w:tcBorders>
          </w:tcPr>
          <w:p>
            <w:pPr>
              <w:spacing w:after="0"/>
              <w:rPr>
                <w:sz w:val="5"/>
                <w:szCs w:val="5"/>
                <w:color w:val="auto"/>
              </w:rPr>
            </w:pPr>
          </w:p>
        </w:tc>
        <w:tc>
          <w:tcPr>
            <w:tcW w:w="112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tcPr>
          <w:p>
            <w:pPr>
              <w:spacing w:after="0"/>
              <w:rPr>
                <w:sz w:val="5"/>
                <w:szCs w:val="5"/>
                <w:color w:val="auto"/>
              </w:rPr>
            </w:pPr>
          </w:p>
        </w:tc>
        <w:tc>
          <w:tcPr>
            <w:tcW w:w="580" w:type="dxa"/>
            <w:vAlign w:val="bottom"/>
            <w:tcBorders>
              <w:bottom w:val="single" w:sz="8" w:color="808080"/>
              <w:right w:val="single" w:sz="8" w:color="808080"/>
            </w:tcBorders>
          </w:tcPr>
          <w:p>
            <w:pPr>
              <w:spacing w:after="0"/>
              <w:rPr>
                <w:sz w:val="5"/>
                <w:szCs w:val="5"/>
                <w:color w:val="auto"/>
              </w:rPr>
            </w:pPr>
          </w:p>
        </w:tc>
        <w:tc>
          <w:tcPr>
            <w:tcW w:w="580" w:type="dxa"/>
            <w:vAlign w:val="bottom"/>
            <w:tcBorders>
              <w:bottom w:val="single" w:sz="8" w:color="808080"/>
              <w:right w:val="single" w:sz="8" w:color="808080"/>
            </w:tcBorders>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tcBorders>
            <w:vMerge w:val="continue"/>
          </w:tcPr>
          <w:p>
            <w:pPr>
              <w:spacing w:after="0"/>
              <w:rPr>
                <w:sz w:val="5"/>
                <w:szCs w:val="5"/>
                <w:color w:val="auto"/>
              </w:rPr>
            </w:pPr>
          </w:p>
        </w:tc>
        <w:tc>
          <w:tcPr>
            <w:tcW w:w="0" w:type="dxa"/>
            <w:vAlign w:val="bottom"/>
          </w:tcPr>
          <w:p>
            <w:pPr>
              <w:spacing w:after="0"/>
              <w:rPr>
                <w:sz w:val="1"/>
                <w:szCs w:val="1"/>
                <w:color w:val="auto"/>
              </w:rPr>
            </w:pPr>
          </w:p>
        </w:tc>
      </w:tr>
      <w:tr>
        <w:trPr>
          <w:trHeight w:val="20"/>
        </w:trPr>
        <w:tc>
          <w:tcPr>
            <w:tcW w:w="140" w:type="dxa"/>
            <w:vAlign w:val="bottom"/>
          </w:tcPr>
          <w:p>
            <w:pPr>
              <w:spacing w:after="0" w:line="20" w:lineRule="exact"/>
              <w:rPr>
                <w:sz w:val="1"/>
                <w:szCs w:val="1"/>
                <w:color w:val="auto"/>
              </w:rPr>
            </w:pPr>
          </w:p>
        </w:tc>
        <w:tc>
          <w:tcPr>
            <w:tcW w:w="1120" w:type="dxa"/>
            <w:vAlign w:val="bottom"/>
            <w:tcBorders>
              <w:right w:val="single" w:sz="8" w:color="808080"/>
            </w:tcBorders>
            <w:vMerge w:val="restart"/>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 wskaźnika referencyjnego</w:t>
            </w:r>
          </w:p>
        </w:tc>
        <w:tc>
          <w:tcPr>
            <w:tcW w:w="580" w:type="dxa"/>
            <w:vAlign w:val="bottom"/>
            <w:tcBorders>
              <w:right w:val="single" w:sz="8" w:color="808080"/>
            </w:tcBorders>
            <w:vMerge w:val="restart"/>
          </w:tcPr>
          <w:p>
            <w:pPr>
              <w:spacing w:after="0" w:line="20" w:lineRule="exact"/>
              <w:rPr>
                <w:sz w:val="1"/>
                <w:szCs w:val="1"/>
                <w:color w:val="auto"/>
              </w:rPr>
            </w:pPr>
          </w:p>
        </w:tc>
        <w:tc>
          <w:tcPr>
            <w:tcW w:w="580" w:type="dxa"/>
            <w:vAlign w:val="bottom"/>
            <w:tcBorders>
              <w:right w:val="single" w:sz="8" w:color="808080"/>
            </w:tcBorders>
          </w:tcPr>
          <w:p>
            <w:pPr>
              <w:spacing w:after="0" w:line="20" w:lineRule="exact"/>
              <w:rPr>
                <w:sz w:val="1"/>
                <w:szCs w:val="1"/>
                <w:color w:val="auto"/>
              </w:rPr>
            </w:pPr>
          </w:p>
        </w:tc>
        <w:tc>
          <w:tcPr>
            <w:tcW w:w="580" w:type="dxa"/>
            <w:vAlign w:val="bottom"/>
            <w:tcBorders>
              <w:right w:val="single" w:sz="8" w:color="808080"/>
            </w:tcBorders>
          </w:tcPr>
          <w:p>
            <w:pPr>
              <w:spacing w:after="0" w:line="20" w:lineRule="exact"/>
              <w:rPr>
                <w:sz w:val="1"/>
                <w:szCs w:val="1"/>
                <w:color w:val="auto"/>
              </w:rPr>
            </w:pP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27,9</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- 4,1</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25,7</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42,5</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0,9</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- 35,8</w:t>
            </w:r>
          </w:p>
        </w:tc>
        <w:tc>
          <w:tcPr>
            <w:tcW w:w="58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31,0</w:t>
            </w:r>
          </w:p>
        </w:tc>
        <w:tc>
          <w:tcPr>
            <w:tcW w:w="0" w:type="dxa"/>
            <w:vAlign w:val="bottom"/>
          </w:tcPr>
          <w:p>
            <w:pPr>
              <w:spacing w:after="0" w:line="20" w:lineRule="exact"/>
              <w:rPr>
                <w:sz w:val="1"/>
                <w:szCs w:val="1"/>
                <w:color w:val="auto"/>
              </w:rPr>
            </w:pPr>
          </w:p>
        </w:tc>
      </w:tr>
      <w:tr>
        <w:trPr>
          <w:trHeight w:val="144"/>
        </w:trPr>
        <w:tc>
          <w:tcPr>
            <w:tcW w:w="140" w:type="dxa"/>
            <w:vAlign w:val="bottom"/>
            <w:shd w:val="clear" w:color="auto" w:fill="FFCE00"/>
          </w:tcPr>
          <w:p>
            <w:pPr>
              <w:spacing w:after="0"/>
              <w:rPr>
                <w:sz w:val="12"/>
                <w:szCs w:val="12"/>
                <w:color w:val="auto"/>
              </w:rPr>
            </w:pPr>
          </w:p>
        </w:tc>
        <w:tc>
          <w:tcPr>
            <w:tcW w:w="112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tcPr>
          <w:p>
            <w:pPr>
              <w:spacing w:after="0"/>
              <w:rPr>
                <w:sz w:val="12"/>
                <w:szCs w:val="12"/>
                <w:color w:val="auto"/>
              </w:rPr>
            </w:pPr>
          </w:p>
        </w:tc>
        <w:tc>
          <w:tcPr>
            <w:tcW w:w="580" w:type="dxa"/>
            <w:vAlign w:val="bottom"/>
            <w:tcBorders>
              <w:right w:val="single" w:sz="8" w:color="808080"/>
            </w:tcBorders>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68"/>
        </w:trPr>
        <w:tc>
          <w:tcPr>
            <w:tcW w:w="140" w:type="dxa"/>
            <w:vAlign w:val="bottom"/>
          </w:tcPr>
          <w:p>
            <w:pPr>
              <w:spacing w:after="0"/>
              <w:rPr>
                <w:sz w:val="5"/>
                <w:szCs w:val="5"/>
                <w:color w:val="auto"/>
              </w:rPr>
            </w:pPr>
          </w:p>
        </w:tc>
        <w:tc>
          <w:tcPr>
            <w:tcW w:w="112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tcPr>
          <w:p>
            <w:pPr>
              <w:spacing w:after="0"/>
              <w:rPr>
                <w:sz w:val="5"/>
                <w:szCs w:val="5"/>
                <w:color w:val="auto"/>
              </w:rPr>
            </w:pPr>
          </w:p>
        </w:tc>
        <w:tc>
          <w:tcPr>
            <w:tcW w:w="580" w:type="dxa"/>
            <w:vAlign w:val="bottom"/>
            <w:tcBorders>
              <w:right w:val="single" w:sz="8" w:color="808080"/>
            </w:tcBorders>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bl>
    <w:p>
      <w:pPr>
        <w:spacing w:after="0" w:line="42" w:lineRule="exact"/>
        <w:rPr>
          <w:sz w:val="20"/>
          <w:szCs w:val="20"/>
          <w:color w:val="auto"/>
        </w:rPr>
      </w:pPr>
    </w:p>
    <w:p>
      <w:pPr>
        <w:sectPr>
          <w:pgSz w:w="11900" w:h="16838" w:orient="portrait"/>
          <w:cols w:equalWidth="0" w:num="2">
            <w:col w:w="3380" w:space="220"/>
            <w:col w:w="7060"/>
          </w:cols>
          <w:pgMar w:left="620" w:top="609" w:right="626" w:bottom="0" w:gutter="0" w:footer="0" w:header="0"/>
          <w:type w:val="continuous"/>
        </w:sectPr>
      </w:pPr>
    </w:p>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26"/>
          <w:szCs w:val="26"/>
          <w:color w:val="auto"/>
        </w:rPr>
        <w:t xml:space="preserve">Informacje praktyczne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22860</wp:posOffset>
            </wp:positionV>
            <wp:extent cx="6767830" cy="952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46"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Depozytariuszem funduszu jest State Street Custodial Services (Ireland) Limited.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-66040</wp:posOffset>
            </wp:positionV>
            <wp:extent cx="45720" cy="7747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0"/>
          <w:szCs w:val="20"/>
          <w:color w:val="auto"/>
        </w:rPr>
      </w:pPr>
    </w:p>
    <w:p>
      <w:pPr xmlns:w="http://schemas.openxmlformats.org/wordprocessingml/2006/main">
        <w:ind w:left="160" w:right="160"/>
        <w:spacing w:after="0" w:line="345" w:lineRule="auto"/>
        <w:rPr>
          <w:sz w:val="20"/>
          <w:szCs w:val="20"/>
          <w:color w:val="auto"/>
        </w:rPr>
      </w:pPr>
      <w:r>
        <w:rPr xmlns:w="http://schemas.openxmlformats.org/wordprocessingml/2006/main">
          <w:rFonts w:ascii="Arial" w:cs="Arial" w:eastAsia="Arial" w:hAnsi="Arial"/>
          <w:sz w:val="14"/>
          <w:szCs w:val="14"/>
          <w:color w:val="auto"/>
        </w:rPr>
        <w:t xml:space="preserve">Więcej informacji na temat Funduszu oraz klasy akcji można uzyskać z ostatniego raportu rocznego oraz raportów półrocznych iShares IV plc.</w:t>
      </w:r>
      <w:r>
        <w:rPr xmlns:w="http://schemas.openxmlformats.org/wordprocessingml/2006/main">
          <w:rFonts w:ascii="Arial" w:cs="Arial" w:eastAsia="Arial" w:hAnsi="Arial"/>
          <w:sz w:val="14"/>
          <w:szCs w:val="14"/>
          <w:color w:val="auto"/>
        </w:rPr>
        <w:t xml:space="preserve"> Dokumenty te są dostępne bezpłatnie w języku angielskim i niektórych innych językach.</w:t>
      </w:r>
      <w:r>
        <w:rPr xmlns:w="http://schemas.openxmlformats.org/wordprocessingml/2006/main">
          <w:rFonts w:ascii="Arial" w:cs="Arial" w:eastAsia="Arial" w:hAnsi="Arial"/>
          <w:sz w:val="14"/>
          <w:szCs w:val="14"/>
          <w:color w:val="auto"/>
        </w:rPr>
        <w:t xml:space="preserve"> Można je znaleźć, wraz z innymi informacjami, takimi jak szczegóły dotyczące kluczowych inwestycji bazowych klasy akcji i cen akcji, na stronie internetowej iShares pod adresem www.ishares.com lub pod numerem telefonu +44 (0)845 357 7000 lub od brokera lub doradcy finansowego.</w:t>
      </w:r>
      <w:r>
        <w:rPr xmlns:w="http://schemas.openxmlformats.org/wordprocessingml/2006/main">
          <w:rFonts w:ascii="Arial" w:cs="Arial" w:eastAsia="Arial" w:hAnsi="Arial"/>
          <w:sz w:val="14"/>
          <w:szCs w:val="14"/>
          <w:color w:val="auto"/>
        </w:rPr>
        <w:t xml:space="preserve"> Inwestorzy powinni mieć na uwadze, że przepisy podatkowe mające zastosowanie do funduszu i klasy akcji mogą mieć wpływ na indywidualną sytuację podatkową inwestycji.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-537210</wp:posOffset>
            </wp:positionV>
            <wp:extent cx="45720" cy="7747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a:extLst>
                        <a:ext uri="{28A0092B-C50C-407E-A947-70E740481C1C}"/>
                      </a:extLst>
                    </a:blip>
                    <a:srcRect/>
                    <a:stretch>
                      <a:fillRect/>
                    </a:stretch>
                  </pic:blipFill>
                  <pic:spPr bwMode="auto">
                    <a:xfrm>
                      <a:off x="0" y="0"/>
                      <a:ext cx="45720" cy="77470"/>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-95250</wp:posOffset>
            </wp:positionV>
            <wp:extent cx="45720" cy="7747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color w:val="auto"/>
        </w:rPr>
        <w:t xml:space="preserve">Fundusz jest subfunduszem iShares IV plc, struktury parasolowej obejmującej różne subfundusze.</w:t>
      </w:r>
      <w:r>
        <w:rPr xmlns:w="http://schemas.openxmlformats.org/wordprocessingml/2006/main">
          <w:rFonts w:ascii="Arial" w:cs="Arial" w:eastAsia="Arial" w:hAnsi="Arial"/>
          <w:sz w:val="14"/>
          <w:szCs w:val="14"/>
          <w:color w:val="auto"/>
        </w:rPr>
        <w:t xml:space="preserve"> Fundusz posiada jedną lub więcej klas akcji.</w:t>
      </w:r>
      <w:r>
        <w:rPr xmlns:w="http://schemas.openxmlformats.org/wordprocessingml/2006/main">
          <w:rFonts w:ascii="Arial" w:cs="Arial" w:eastAsia="Arial" w:hAnsi="Arial"/>
          <w:sz w:val="14"/>
          <w:szCs w:val="14"/>
          <w:color w:val="auto"/>
        </w:rPr>
        <w:t xml:space="preserve"> Niniejszy dokument dotyczy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-51435</wp:posOffset>
            </wp:positionV>
            <wp:extent cx="45720" cy="7747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51"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5"/>
          <w:szCs w:val="15"/>
          <w:color w:val="auto"/>
        </w:rPr>
        <w:t xml:space="preserve">fundusz i klasa akcji podane na początku niniejszego dokumentu.</w:t>
      </w:r>
      <w:r>
        <w:rPr xmlns:w="http://schemas.openxmlformats.org/wordprocessingml/2006/main">
          <w:rFonts w:ascii="Arial" w:cs="Arial" w:eastAsia="Arial" w:hAnsi="Arial"/>
          <w:sz w:val="15"/>
          <w:szCs w:val="15"/>
          <w:color w:val="auto"/>
        </w:rPr>
        <w:t xml:space="preserve"> Jednakże prospekt emisyjny, sprawozdania roczne i półroczne są przygotowywane dla parasola.</w:t>
      </w:r>
    </w:p>
    <w:p>
      <w:pPr>
        <w:spacing w:after="0" w:line="59"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color w:val="auto"/>
        </w:rPr>
        <w:t xml:space="preserve">iShares IV plc może zostać pociągnięta do odpowiedzialności wyłącznie na podstawie jakiegokolwiek oświadczenia zawartego w tym dokumencie, które wprowadza w błąd, jest niedokładne lub niezgodne z odpowiednimi częściami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-51435</wp:posOffset>
            </wp:positionV>
            <wp:extent cx="45720" cy="7747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51"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prospektu emisyjnego Funduszu.</w:t>
      </w:r>
    </w:p>
    <w:p>
      <w:pPr>
        <w:spacing w:after="0" w:line="48"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Orientacyjna śróddzienna wartość aktywów netto klasy akcji jest publikowana na odpowiednich stronach internetowych giełd.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-66040</wp:posOffset>
            </wp:positionV>
            <wp:extent cx="45720" cy="7747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0"/>
          <w:szCs w:val="20"/>
          <w:color w:val="auto"/>
        </w:rPr>
      </w:pPr>
    </w:p>
    <w:p>
      <w:pPr xmlns:w="http://schemas.openxmlformats.org/wordprocessingml/2006/main">
        <w:ind w:left="160" w:right="80"/>
        <w:spacing w:after="0" w:line="322" w:lineRule="auto"/>
        <w:rPr>
          <w:sz w:val="20"/>
          <w:szCs w:val="20"/>
          <w:color w:val="auto"/>
        </w:rPr>
      </w:pPr>
      <w:r>
        <w:rPr xmlns:w="http://schemas.openxmlformats.org/wordprocessingml/2006/main">
          <w:rFonts w:ascii="Arial" w:cs="Arial" w:eastAsia="Arial" w:hAnsi="Arial"/>
          <w:sz w:val="15"/>
          <w:szCs w:val="15"/>
          <w:color w:val="auto"/>
        </w:rPr>
        <w:t xml:space="preserve">Zgodnie z prawem irlandzkim iShares IV plc dokonało rozdziału odpowiedzialności pomiędzy subfunduszami (tj. aktywa Funduszu nie będą wykorzystywane do wywiązywania się z zobowiązań innych subfunduszy w ramach iShares IV plc).</w:t>
      </w:r>
      <w:r>
        <w:rPr xmlns:w="http://schemas.openxmlformats.org/wordprocessingml/2006/main">
          <w:rFonts w:ascii="Arial" w:cs="Arial" w:eastAsia="Arial" w:hAnsi="Arial"/>
          <w:sz w:val="15"/>
          <w:szCs w:val="15"/>
          <w:color w:val="auto"/>
        </w:rPr>
        <w:t xml:space="preserve"> Ponadto aktywa Funduszu utrzymywane są odrębnie od aktywów innych subfunduszy.</w:t>
      </w:r>
      <w:r>
        <w:rPr xmlns:w="http://schemas.openxmlformats.org/wordprocessingml/2006/main">
          <w:rFonts w:ascii="Arial" w:cs="Arial" w:eastAsia="Arial" w:hAnsi="Arial"/>
          <w:sz w:val="15"/>
          <w:szCs w:val="15"/>
          <w:color w:val="auto"/>
        </w:rPr>
        <w:t xml:space="preserve"> Aktywa i zobowiązania specyficzne dla danej klasy akcji można by przypisać tylko do tej klasy akcji, jednak zgodnie z prawem irlandzkim nie ma rozdzielenia zobowiązań między kategorie akcji.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-389890</wp:posOffset>
            </wp:positionV>
            <wp:extent cx="45720" cy="7747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1">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380"/>
        <w:spacing w:after="0" w:line="322" w:lineRule="auto"/>
        <w:rPr>
          <w:sz w:val="20"/>
          <w:szCs w:val="20"/>
          <w:color w:val="auto"/>
        </w:rPr>
      </w:pPr>
      <w:r>
        <w:rPr xmlns:w="http://schemas.openxmlformats.org/wordprocessingml/2006/main">
          <w:rFonts w:ascii="Arial" w:cs="Arial" w:eastAsia="Arial" w:hAnsi="Arial"/>
          <w:sz w:val="15"/>
          <w:szCs w:val="15"/>
          <w:color w:val="auto"/>
        </w:rPr>
        <w:t xml:space="preserve">Zamiana akcji pomiędzy Funduszem a innymi subfunduszami w ramach iShares IV plc nie jest dostępna dla inwestorów.</w:t>
      </w:r>
      <w:r>
        <w:rPr xmlns:w="http://schemas.openxmlformats.org/wordprocessingml/2006/main">
          <w:rFonts w:ascii="Arial" w:cs="Arial" w:eastAsia="Arial" w:hAnsi="Arial"/>
          <w:sz w:val="15"/>
          <w:szCs w:val="15"/>
          <w:color w:val="auto"/>
        </w:rPr>
        <w:t xml:space="preserve"> Tylko upoważnieni uczestnicy mający bezpośredni kontakt z Funduszem mogą przechodzić z jednej klasy akcji Funduszu do drugiej, pod warunkiem spełnienia określonych warunków zawartych w prospekcie emisyjnym Funduszu.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-243205</wp:posOffset>
            </wp:positionV>
            <wp:extent cx="45720" cy="7747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2">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100"/>
        <w:spacing w:after="0" w:line="366" w:lineRule="auto"/>
        <w:rPr>
          <w:sz w:val="20"/>
          <w:szCs w:val="20"/>
          <w:color w:val="auto"/>
        </w:rPr>
      </w:pPr>
      <w:r>
        <w:rPr xmlns:w="http://schemas.openxmlformats.org/wordprocessingml/2006/main">
          <w:rFonts w:ascii="Arial" w:cs="Arial" w:eastAsia="Arial" w:hAnsi="Arial"/>
          <w:sz w:val="15"/>
          <w:szCs w:val="15"/>
          <w:color w:val="auto"/>
        </w:rPr>
        <w:t xml:space="preserve">Polityka wynagradzania Spółki, która opisuje sposób ustalania i przyznawania wynagrodzeń i świadczeń oraz związane z tym ustalenia dotyczące ładu korporacyjnego, dostępna jest na stronie internetowej www.blackrock.com/Remunerationpolicy lub na wniosek siedziby Spółki.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5673090</wp:posOffset>
            </wp:positionH>
            <wp:positionV relativeFrom="paragraph">
              <wp:posOffset>1846580</wp:posOffset>
            </wp:positionV>
            <wp:extent cx="1097280" cy="45720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3">
                      <a:extLst>
                        <a:ext uri="{28A0092B-C50C-407E-A947-70E740481C1C}"/>
                      </a:extLst>
                    </a:blip>
                    <a:srcRect/>
                    <a:stretch>
                      <a:fillRect/>
                    </a:stretch>
                  </pic:blipFill>
                  <pic:spPr bwMode="auto">
                    <a:xfrm>
                      <a:off x="0" y="0"/>
                      <a:ext cx="1097280" cy="457200"/>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-283210</wp:posOffset>
            </wp:positionV>
            <wp:extent cx="45720" cy="7747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4">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2" w:lineRule="exact"/>
        <w:rPr>
          <w:sz w:val="20"/>
          <w:szCs w:val="20"/>
          <w:color w:val="auto"/>
        </w:rPr>
      </w:pPr>
    </w:p>
    <w:p>
      <w:pPr xmlns:w="http://schemas.openxmlformats.org/wordprocessingml/2006/main">
        <w:ind w:right="2740"/>
        <w:spacing w:after="0" w:line="325" w:lineRule="auto"/>
        <w:rPr>
          <w:sz w:val="20"/>
          <w:szCs w:val="20"/>
          <w:color w:val="auto"/>
        </w:rPr>
      </w:pPr>
      <w:r>
        <w:rPr xmlns:w="http://schemas.openxmlformats.org/wordprocessingml/2006/main">
          <w:rFonts w:ascii="Arial" w:cs="Arial" w:eastAsia="Arial" w:hAnsi="Arial"/>
          <w:sz w:val="14"/>
          <w:szCs w:val="14"/>
          <w:color w:val="auto"/>
        </w:rPr>
        <w:t xml:space="preserve">Fundusz ten oraz zarządzający nim BlackRock Asset Management Ireland Limited posiadają zezwolenie w Irlandii i są regulowane przez Central Bank of Ireland.</w:t>
      </w:r>
      <w:r>
        <w:rPr xmlns:w="http://schemas.openxmlformats.org/wordprocessingml/2006/main">
          <w:rFonts w:ascii="Arial" w:cs="Arial" w:eastAsia="Arial" w:hAnsi="Arial"/>
          <w:sz w:val="14"/>
          <w:szCs w:val="14"/>
          <w:color w:val="auto"/>
        </w:rPr>
        <w:t xml:space="preserve"> Niniejsze Kluczowe Informacje dla Inwestorów są aktualne na dzień 29 stycznia 2024 roku</w:t>
      </w:r>
    </w:p>
    <w:sectPr>
      <w:pgSz w:w="11900" w:h="16838" w:orient="portrait"/>
      <w:cols w:equalWidth="0" w:num="1">
        <w:col w:w="10660"/>
      </w:cols>
      <w:pgMar w:left="620" w:top="609" w:right="626"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144637E0"/>
    <w:multiLevelType w:val="hybridMultilevel"/>
    <w:lvl w:ilvl="0">
      <w:lvlJc w:val="left"/>
      <w:lvlText w:val="%"/>
      <w:numFmt w:val="bullet"/>
      <w:start w:val="1"/>
    </w:lvl>
  </w:abstractNum>
  <w:abstractNum w:abstractNumId="1">
    <w:nsid w:val="65B8F351"/>
    <w:multiLevelType w:val="hybridMultilevel"/>
    <w:lvl w:ilvl="0">
      <w:lvlJc w:val="left"/>
      <w:lvlText w:val="-"/>
      <w:numFmt w:val="bullet"/>
      <w:start w:val="1"/>
    </w:lvl>
  </w:abstractNum>
  <w:abstractNum w:abstractNumId="2">
    <w:nsid w:val="6FF591F7"/>
    <w:multiLevelType w:val="hybridMultilevel"/>
    <w:lvl w:ilvl="0">
      <w:lvlJc w:val="left"/>
      <w:lvlText w:val="-"/>
      <w:numFmt w:val="bullet"/>
      <w:start w:val="1"/>
    </w:lvl>
  </w:abstractNum>
  <w:abstractNum w:abstractNumId="3">
    <w:nsid w:val="55FBF8CF"/>
    <w:multiLevelType w:val="hybridMultilevel"/>
    <w:lvl w:ilvl="0">
      <w:lvlJc w:val="left"/>
      <w:lvlText w:val="-"/>
      <w:numFmt w:val="bullet"/>
      <w:start w:val="1"/>
    </w:lvl>
  </w:abstractNum>
  <w:abstractNum w:abstractNumId="4">
    <w:nsid w:val="6846C343"/>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image" Target="media/image7.png"/><Relationship Id="rId19" Type="http://schemas.openxmlformats.org/officeDocument/2006/relationships/image" Target="media/image8.png"/><Relationship Id="rId20" Type="http://schemas.openxmlformats.org/officeDocument/2006/relationships/image" Target="media/image9.png"/><Relationship Id="rId21" Type="http://schemas.openxmlformats.org/officeDocument/2006/relationships/image" Target="media/image10.png"/><Relationship Id="rId22" Type="http://schemas.openxmlformats.org/officeDocument/2006/relationships/image" Target="media/image11.png"/><Relationship Id="rId23" Type="http://schemas.openxmlformats.org/officeDocument/2006/relationships/image" Target="media/image12.png"/><Relationship Id="rId24" Type="http://schemas.openxmlformats.org/officeDocument/2006/relationships/image" Target="media/image13.png"/><Relationship Id="rId25" Type="http://schemas.openxmlformats.org/officeDocument/2006/relationships/image" Target="media/image14.png"/><Relationship Id="rId26" Type="http://schemas.openxmlformats.org/officeDocument/2006/relationships/image" Target="media/image15.jpeg"/><Relationship Id="rId27" Type="http://schemas.openxmlformats.org/officeDocument/2006/relationships/image" Target="media/image16.png"/><Relationship Id="rId28" Type="http://schemas.openxmlformats.org/officeDocument/2006/relationships/image" Target="media/image17.png"/><Relationship Id="rId29" Type="http://schemas.openxmlformats.org/officeDocument/2006/relationships/image" Target="media/image18.png"/><Relationship Id="rId30" Type="http://schemas.openxmlformats.org/officeDocument/2006/relationships/image" Target="media/image19.png"/><Relationship Id="rId31" Type="http://schemas.openxmlformats.org/officeDocument/2006/relationships/image" Target="media/image20.png"/><Relationship Id="rId32" Type="http://schemas.openxmlformats.org/officeDocument/2006/relationships/image" Target="media/image21.png"/><Relationship Id="rId33" Type="http://schemas.openxmlformats.org/officeDocument/2006/relationships/image" Target="media/image22.png"/><Relationship Id="rId34" Type="http://schemas.openxmlformats.org/officeDocument/2006/relationships/image" Target="media/image23.png"/><Relationship Id="rId35" Type="http://schemas.openxmlformats.org/officeDocument/2006/relationships/image" Target="media/image24.png"/><Relationship Id="rId36" Type="http://schemas.openxmlformats.org/officeDocument/2006/relationships/image" Target="media/image25.png"/><Relationship Id="rId37" Type="http://schemas.openxmlformats.org/officeDocument/2006/relationships/image" Target="media/image26.png"/><Relationship Id="rId38" Type="http://schemas.openxmlformats.org/officeDocument/2006/relationships/image" Target="media/image27.png"/><Relationship Id="rId39" Type="http://schemas.openxmlformats.org/officeDocument/2006/relationships/image" Target="media/image28.png"/><Relationship Id="rId40" Type="http://schemas.openxmlformats.org/officeDocument/2006/relationships/image" Target="media/image29.png"/><Relationship Id="rId41" Type="http://schemas.openxmlformats.org/officeDocument/2006/relationships/image" Target="media/image30.png"/><Relationship Id="rId42" Type="http://schemas.openxmlformats.org/officeDocument/2006/relationships/image" Target="media/image31.png"/><Relationship Id="rId43" Type="http://schemas.openxmlformats.org/officeDocument/2006/relationships/image" Target="media/image32.jpeg"/><Relationship Id="rId44" Type="http://schemas.openxmlformats.org/officeDocument/2006/relationships/image" Target="media/image33.png"/><Relationship Id="rId45" Type="http://schemas.openxmlformats.org/officeDocument/2006/relationships/image" Target="media/image34.png"/><Relationship Id="rId46" Type="http://schemas.openxmlformats.org/officeDocument/2006/relationships/image" Target="media/image35.png"/><Relationship Id="rId47" Type="http://schemas.openxmlformats.org/officeDocument/2006/relationships/image" Target="media/image36.png"/><Relationship Id="rId48" Type="http://schemas.openxmlformats.org/officeDocument/2006/relationships/image" Target="media/image37.png"/><Relationship Id="rId49" Type="http://schemas.openxmlformats.org/officeDocument/2006/relationships/image" Target="media/image38.png"/><Relationship Id="rId50" Type="http://schemas.openxmlformats.org/officeDocument/2006/relationships/image" Target="media/image39.png"/><Relationship Id="rId51" Type="http://schemas.openxmlformats.org/officeDocument/2006/relationships/image" Target="media/image40.png"/><Relationship Id="rId52" Type="http://schemas.openxmlformats.org/officeDocument/2006/relationships/image" Target="media/image41.png"/><Relationship Id="rId53" Type="http://schemas.openxmlformats.org/officeDocument/2006/relationships/image" Target="media/image42.jpeg"/><Relationship Id="rId54" Type="http://schemas.openxmlformats.org/officeDocument/2006/relationships/image" Target="media/image4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2024-05-21T09:49:14Z</dcterms:created>
  <dcterms:modified xsi:type="dcterms:W3CDTF">2024-05-21T09:49:14Z</dcterms:modified>
</cp:coreProperties>
</file>