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6.5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463550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6.5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962660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5.8pt" to="568.4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1837690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4.7pt" to="568.4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3154680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48.4pt" to="568.4pt,248.4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4012565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15.95pt" to="568.4pt,315.9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508365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08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05.9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50836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08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05.9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Standaryzowana Opcja Na Zadłużenie (Krótka Opcja Sprzedaży)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Standardowe Opcje Na Dłużne Papiery Wartościowe W Stanach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("UOKiK") udostępnia niniejszy dokument na podstawie Rozporządzenia UE nr 1286/2014 dla standardowych opcji na dłużne papiery wartościowe (a/k/a "opcje notowane").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dłużne papiery wartościowe są notowane i znajdują się w obrocie na giełdach opcji amerykańskich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24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na dłużne papiery wartościowe, dopóki nie przeczytają i nie zrozumieją niniejszego dokumentu i powiązanego dokumentu ujawniającego informacje na temat ryzyka,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informacje na temat opcji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24765</wp:posOffset>
                </wp:positionV>
                <wp:extent cx="6676390" cy="494220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494220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95pt;width:525.7pt;height:389.1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Istnieją dwa rodzaje opcji na dłużne papiery wartościowe.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oparte na cenie dają posiadaczowi (kupującemu) prawo do zakupu lub sprzedaży określonego bazowego dłużnego papieru wartościowego lub do otrzymania płatności z tytułu rozliczenia gotówkowego w oparciu o wartość bazowego dłużnego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oparte na dochodach dają posiadaczom prawo do otrzymania środków pieniężnych w oparciu o różnicę między ceną wykonania a wartością dochodu bazowego.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bazowy dłużny papier wartościowy jest zatem pośrednia w przypadku obu rodzajów opcji na dłużne papiery wartościowe, ponieważ wartość opcji pochodzi od wartości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ważności opcji na dłużne papiery wartościowe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korporacyjne w odniesieniu do bazowego kapitałowego papieru wartościowego może skutkować zmianą warunków opcji zgodnie z zasadami UOKiK, które mogą różnić się od metodyki stosowanej na europejskich rynkach opcji.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opcji jest osoba, która kupuje prawo z opcji i płaci autorowi (sprzedawcy)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wystawiająca opcje jest zobowiązana - jeżeli i w momencie przypisania jej wykonania - do wykonania zobowiązania zgodnie z warunkami zakupu lub sprzedaży bazowego dłużnego papieru wartościowego po cenie wykonania lub do dostarczenia środków pieniężnych w oparciu o różnicę między ceną wykonania a wartością bazowego dłużnego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oparte na uzysku są zwykle opcjami w stylu europejskim.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bazowego papieru wartościowego i jego podatność na wahania cen (zmienność).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21.4pt,1.4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99" w:right="10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94397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43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40.2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94397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43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40.2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0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20" w:hanging="214"/>
        <w:spacing w:after="0" w:line="22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Jednostka sporządzająca opcje kupna, która nie jest właścicielem bazowego papieru wartościowego (wezwanie niepokryte), ponosi ryzyko potencjalnie nieograniczonej straty w miarę wzrostu ceny bazowych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sprzedaży ponosi ryzyko straty równej różnicy między ceną wykonania a zerem, jeżeli cena instrumentu bazowego spadnie do zera.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takie niepokryte wezwania i transakcje sprzedaży są zobowiązane do wniesienia depozytu zabezpieczającego (opisanego poniżej) u swojego brokera, co stwarza dodatkowe ryzyko.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Od podmiotu zapisującego opcję opartą na cenie, która jest fizycznie rozliczana, można wymagać wypełnienia obowiązku zakupu lub sprzedaży bazowego udziału w dowolnym momencie, w którym opcja jest wykonalna ze względu na jej styl.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cenami bazowych lub powiązanych z nimi udziałów.</w:t>
      </w:r>
    </w:p>
    <w:p>
      <w:pPr>
        <w:spacing w:after="0" w:line="7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zabezpieczenie zrealizowanej opcji, rozliczanej fizycznie, jest niedostępne, zasady rozliczania OCC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17145</wp:posOffset>
                </wp:positionV>
                <wp:extent cx="654558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1.35pt" to="515.65pt,1.35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13970</wp:posOffset>
                </wp:positionV>
                <wp:extent cx="0" cy="173164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731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.1pt" to="0.5pt,137.45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13970</wp:posOffset>
                </wp:positionV>
                <wp:extent cx="0" cy="173164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731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12.75pt,1.1pt" to="312.75pt,137.45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6545580</wp:posOffset>
                </wp:positionH>
                <wp:positionV relativeFrom="paragraph">
                  <wp:posOffset>13970</wp:posOffset>
                </wp:positionV>
                <wp:extent cx="0" cy="173164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731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15.4pt,1.1pt" to="515.4pt,137.4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706" w:right="1000" w:bottom="507" w:gutter="0" w:footer="0" w:header="0"/>
        </w:sectPr>
      </w:pPr>
    </w:p>
    <w:p>
      <w:pPr>
        <w:spacing w:after="0" w:line="1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P/L napisania oferty opartej na cenie (Premium $5; Cena ćwiczenia $45)</w:t>
      </w:r>
    </w:p>
    <w:p>
      <w:pPr>
        <w:spacing w:after="0" w:line="1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spacing w:after="0"/>
        <w:tabs>
          <w:tab w:leader="none" w:pos="4020" w:val="left"/>
          <w:tab w:leader="none" w:pos="3100" w:val="left"/>
          <w:tab w:leader="none" w:pos="2160" w:val="left"/>
          <w:tab w:leader="none" w:pos="1240" w:val="left"/>
          <w:tab w:leader="none" w:pos="3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20 $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60 $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80 $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100 $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ind w:right="50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10 $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715010</wp:posOffset>
            </wp:positionH>
            <wp:positionV relativeFrom="paragraph">
              <wp:posOffset>-55245</wp:posOffset>
            </wp:positionV>
            <wp:extent cx="2952115" cy="77470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ind w:right="50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0 $</w:t>
      </w:r>
    </w:p>
    <w:p>
      <w:pPr>
        <w:spacing w:after="0" w:line="80" w:lineRule="exact"/>
        <w:rPr>
          <w:sz w:val="20"/>
          <w:szCs w:val="20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180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7"/>
                <w:szCs w:val="17"/>
                <w:color w:val="595959"/>
                <w:w w:val="70"/>
              </w:rPr>
              <w:t xml:space="preserve">P/L</w:t>
            </w: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- 10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- 30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ind w:left="2520"/>
        <w:spacing w:after="0" w:line="18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Cena rynkowa instrumentu bazowego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274955</wp:posOffset>
                </wp:positionV>
                <wp:extent cx="654558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21.65pt" to="515.65pt,21.65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$15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20" w:hanging="357"/>
        <w:spacing w:after="0"/>
        <w:tabs>
          <w:tab w:leader="none" w:pos="72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$25</w:t>
      </w:r>
    </w:p>
    <w:p>
      <w:pPr xmlns:w="http://schemas.openxmlformats.org/wordprocessingml/2006/main">
        <w:ind w:left="360"/>
        <w:spacing w:after="0" w:line="211" w:lineRule="auto"/>
        <w:tabs>
          <w:tab w:leader="none" w:pos="700" w:val="left"/>
          <w:tab w:leader="none" w:pos="21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sz w:val="20"/>
          <w:szCs w:val="20"/>
          <w:color w:val="auto"/>
        </w:rPr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+ 25 $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$35</w:t>
      </w:r>
    </w:p>
    <w:p>
      <w:pPr>
        <w:spacing w:after="0" w:line="12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20" w:hanging="357"/>
        <w:spacing w:after="0"/>
        <w:tabs>
          <w:tab w:leader="none" w:pos="72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</w:t>
      </w:r>
    </w:p>
    <w:p>
      <w:pPr xmlns:w="http://schemas.openxmlformats.org/wordprocessingml/2006/main">
        <w:ind w:left="360"/>
        <w:spacing w:after="0" w:line="211" w:lineRule="auto"/>
        <w:tabs>
          <w:tab w:leader="none" w:pos="700" w:val="left"/>
          <w:tab w:leader="none" w:pos="220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sz w:val="20"/>
          <w:szCs w:val="20"/>
          <w:color w:val="auto"/>
        </w:rPr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+ 5$</w:t>
      </w:r>
    </w:p>
    <w:p>
      <w:pPr>
        <w:spacing w:after="0" w:line="2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minus premia.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960" w:space="400"/>
            <w:col w:w="3940"/>
          </w:cols>
          <w:pgMar w:left="940" w:top="706" w:right="1000" w:bottom="507" w:gutter="0" w:footer="0" w:header="0"/>
          <w:type w:val="continuous"/>
        </w:sectPr>
      </w:pPr>
    </w:p>
    <w:p>
      <w:pPr xmlns:w="http://schemas.openxmlformats.org/wordprocessingml/2006/main">
        <w:ind w:right="12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różni się w zależności od tego, jak wartość instrumentu bazowego zmienia się w czasie i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Przedstawione dane liczbowe obejmują wszystkie koszty samego produktu, ale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20320</wp:posOffset>
                </wp:positionV>
                <wp:extent cx="6689725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6pt" to="521.4pt,1.6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706" w:right="1000" w:bottom="507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2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860425</wp:posOffset>
                </wp:positionV>
                <wp:extent cx="669036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7.75pt" to="568.4pt,67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6670040</wp:posOffset>
                </wp:positionV>
                <wp:extent cx="669036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25.2pt" to="568.4pt,525.2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8212455</wp:posOffset>
                </wp:positionV>
                <wp:extent cx="669036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46.65pt" to="568.4pt,646.6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957945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579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41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957945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579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41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Może nie obejmować wszystkich kosztów, które płacisz swojemu doradcy lub dystrybutorowi i nie uwzględniać Twojej osobistej sytuacji podatkowej, która może mieć również wpływ na wysokość otrzymywanych przez Ciebie kwot.</w:t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wysokości każdej kwoty należnej.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8"/>
        </w:trPr>
        <w:tc>
          <w:tcPr>
            <w:tcW w:w="52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200" w:type="dxa"/>
            <w:vAlign w:val="bottom"/>
          </w:tcPr>
          <w:p>
            <w:pPr xmlns:w="http://schemas.openxmlformats.org/wordprocessingml/2006/main">
              <w:ind w:left="10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opcji na dłużne papiery wartościowe zależą od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zapłacony koszt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przez posiadacza do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 istotne znaczenie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wpływ na składkę obejmuje między innymi,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cena/zysk bazowego papieru wartościowego, czas do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wygaśnięcie opcji i cena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Inwestowanie wiąże się z dodatkowymi kosztami, które obejmują podatek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Rozważania, koszty transakcji i marża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które mogą mieć istotny wpływ na zysk lub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straty.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Na koszty transakcyjne składają się przede wszystkim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prowizje (nakładane przy otwieraniu, zamykaniu,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wykonania i cesji), ale może również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obejmują koszty marży i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Marża oznacza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aktywa, które muszą być zdeponowane przez emitenta w jego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jako zabezpieczenie zobowiązania,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celu kupna lub sprzedaży odsetek bazowych lub zapłaty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kwotę rozliczenia gotówkowego.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przypisane, pisarz może ponieść dodatkowe koszty.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swoją umowę (umowy) opcji oraz czy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zamkną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60"/>
        <w:spacing w:after="0" w:line="2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Centrum Reklamacji Inwestorów FINRA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USA.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Komisja Papierów Wartościowych i Giełd</w:t>
      </w:r>
    </w:p>
    <w:p>
      <w:pPr xmlns:w="http://schemas.openxmlformats.org/wordprocessingml/2006/main">
        <w:ind w:left="38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9509 Key West Avenue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Biuro Edukacji i Rzecznictwa Inwestorskiego</w:t>
      </w:r>
    </w:p>
    <w:p>
      <w:pPr xmlns:w="http://schemas.openxmlformats.org/wordprocessingml/2006/main">
        <w:ind w:left="38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Rockville, MD 20850-3329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100 F Street, Gdzie Indziej Niewymienione.</w:t>
      </w:r>
    </w:p>
    <w:p>
      <w:pPr xmlns:w="http://schemas.openxmlformats.org/wordprocessingml/2006/main">
        <w:ind w:left="38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Telefon: (240) 386-HELP (4357) Faks: (866) 397-3290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Waszyngton, DC 20549-0213 Faks: (202) 772-9295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16510</wp:posOffset>
                </wp:positionV>
                <wp:extent cx="6690360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3pt" to="532.4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40"/>
      </w:cols>
      <w:pgMar w:left="720" w:top="774" w:right="880" w:bottom="201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1F3DBA58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71CA1435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20F305A4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2024-05-21T09:36:56Z</dcterms:created>
  <dcterms:modified xsi:type="dcterms:W3CDTF">2024-05-21T09:36:56Z</dcterms:modified>
</cp:coreProperties>
</file>